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Replies to Points of Dispute</w:t>
      </w:r>
    </w:p>
    <w:p>
      <w:r>
        <w:t>These Replies are served on behalf of the Claimant in response to the Defendant’s Points of Dispute dated 5 June 2025 concerning the Bill of Costs served in relation to claim CL-2024-000123.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Item No.</w:t>
            </w:r>
          </w:p>
        </w:tc>
        <w:tc>
          <w:tcPr>
            <w:tcW w:type="dxa" w:w="2160"/>
          </w:tcPr>
          <w:p>
            <w:r>
              <w:t>Disputed Item</w:t>
            </w:r>
          </w:p>
        </w:tc>
        <w:tc>
          <w:tcPr>
            <w:tcW w:type="dxa" w:w="2160"/>
          </w:tcPr>
          <w:p>
            <w:r>
              <w:t>Defendant’s Objection</w:t>
            </w:r>
          </w:p>
        </w:tc>
        <w:tc>
          <w:tcPr>
            <w:tcW w:type="dxa" w:w="2160"/>
          </w:tcPr>
          <w:p>
            <w:r>
              <w:t>Claimant’s Reply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Initial client meeting and instructions (Grade A, 1.5 hrs)</w:t>
            </w:r>
          </w:p>
        </w:tc>
        <w:tc>
          <w:tcPr>
            <w:tcW w:type="dxa" w:w="2160"/>
          </w:tcPr>
          <w:p>
            <w:r>
              <w:t>Excessive hourly rate</w:t>
            </w:r>
          </w:p>
        </w:tc>
        <w:tc>
          <w:tcPr>
            <w:tcW w:type="dxa" w:w="2160"/>
          </w:tcPr>
          <w:p>
            <w:r>
              <w:t>Grade A involvement was necessary due to complexity of case and client’s profile.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Drafting letter before action (Grade B, 2.0 hrs)</w:t>
            </w:r>
          </w:p>
        </w:tc>
        <w:tc>
          <w:tcPr>
            <w:tcW w:type="dxa" w:w="2160"/>
          </w:tcPr>
          <w:p>
            <w:r>
              <w:t>Duplicative work</w:t>
            </w:r>
          </w:p>
        </w:tc>
        <w:tc>
          <w:tcPr>
            <w:tcW w:type="dxa" w:w="2160"/>
          </w:tcPr>
          <w:p>
            <w:r>
              <w:t>The letter included legal analysis and strategic advice; time was reasonable.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Case management conference (Grade B, 2.5 hrs)</w:t>
            </w:r>
          </w:p>
        </w:tc>
        <w:tc>
          <w:tcPr>
            <w:tcW w:type="dxa" w:w="2160"/>
          </w:tcPr>
          <w:p>
            <w:r>
              <w:t>Excessive time claimed</w:t>
            </w:r>
          </w:p>
        </w:tc>
        <w:tc>
          <w:tcPr>
            <w:tcW w:type="dxa" w:w="2160"/>
          </w:tcPr>
          <w:p>
            <w:r>
              <w:t>Additional preparation was required due to late disclosure by the Defendant.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Preparing trial bundle and attending trial – Day 1 (Grade A, 6.0 hrs)</w:t>
            </w:r>
          </w:p>
        </w:tc>
        <w:tc>
          <w:tcPr>
            <w:tcW w:type="dxa" w:w="2160"/>
          </w:tcPr>
          <w:p>
            <w:r>
              <w:t>Unreasonable length of time</w:t>
            </w:r>
          </w:p>
        </w:tc>
        <w:tc>
          <w:tcPr>
            <w:tcW w:type="dxa" w:w="2160"/>
          </w:tcPr>
          <w:p>
            <w:r>
              <w:t>Time is reasonable given the volume of documents and trial preparation required.</w:t>
            </w:r>
          </w:p>
        </w:tc>
      </w:tr>
    </w:tbl>
    <w:p>
      <w:r>
        <w:br/>
        <w:t>The Claimant invites the court to assess the Bill as drawn.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