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Introduce ourselves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Explain project</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Predicting the IDPs resulting from natural disasters, specifically floods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We want to improve understanding of how different features of a country affect its reaction to such disasters at different severities, and which countries may be most vulnerable based on recent data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story bringing us here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We’re bringing together a lot of different data for this, and are wrapping up that process now of joining everything together and prepping it for modeling.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Our data is organized by flood event, and we are using your flood archive data to add features like the severity score so that the model has some knowledge of how bad each event is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Our main dataset has ~6k rows of flood data not included in your archive, and about ~3k that are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So we could move forward with that 3k that has more detailed data, or try to extrapolate a severity score to the other 6k, which would allow us more data, but we would need to justify our guess at a severity score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It seems to us that the flood archive includes bigger events (more IDPs) than the GIDD data, but we are looking to confirm this more now</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(Any updates from Leanna here?)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Because of this, we are tempted to do something like giving those extra 6k a severity score of .5, for example</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So our main question for you is: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Do you have any insight into how the team decides what counts as a flood event, what counts as an IDP, and generally what those cut offs are for inclusion in the flood archive dataset?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We want to understand the differences between what is included here compared to other data sources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Can just generally tell us about how the data is gathered and verified, how you decide what to include, is it retroactively changed, kept up to date, etc</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Does our extrapolation approach/conclusion seem reasonable to you?</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Do you have other suggestions to improve it?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 you have any other advice or suggestions for our project now that you understand a bit more about it? Are there other angles we should look at this from, contextual/ethical considerations we are missing, other approaches that may be helpful, or conclusions to look for that may be helpful?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