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docs/04_transformation/Preprocessing_Sequence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docs/05_splitting/Split_Strategy_Analysis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Every comparison is supported by an appropriate statistic, not visual impression alone: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tests (Benjamini-Hochberg corrected) with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for numeric features,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for categorical features, and Pearson/Spearman correlation with an explicit leakage check. Figures follow the chart standard (</w:t>
      </w:r>
      <w:r>
        <w:rPr>
          <w:rStyle w:val="VerbatimChar"/>
        </w:rPr>
        <w:t xml:space="preserve">docs/07_standards/Chart_Standards</w:t>
      </w:r>
      <w:r>
        <w:t xml:space="preserve">); the analysis is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narrated in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with result tables under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data-quality"/>
    <w:p>
      <w:pPr>
        <w:pStyle w:val="Heading3"/>
      </w:pPr>
      <w:r>
        <w:t xml:space="preserve">4.0 Data quality</w:t>
      </w:r>
    </w:p>
    <w:p>
      <w:pPr>
        <w:pStyle w:val="FirstParagraph"/>
      </w:pPr>
      <w:r>
        <w:t xml:space="preserve">Only three columns contain gaps: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 — structurally absent for students who never withdraw, not a feature),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train median). No feature column is materially incomplete.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Missing values by column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Missing values by column</w:t>
      </w:r>
    </w:p>
    <w:bookmarkEnd w:id="20"/>
    <w:bookmarkStart w:id="24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observed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1.12) — a slight majority, not the illustrative 68/32 on the slides. Imbalance is therefore mild (reported honestly; it frames RQ3); PR-AUC and recall on the at-risk class remain the headline metrics because a missed at-risk student is the costly error.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Target distribution and imbalance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 and imbalance</w:t>
      </w:r>
    </w:p>
    <w:bookmarkEnd w:id="24"/>
    <w:bookmarkStart w:id="34" w:name="univariate-description-stt-28"/>
    <w:p>
      <w:pPr>
        <w:pStyle w:val="Heading3"/>
      </w:pPr>
      <w:r>
        <w:t xml:space="preserve">4.2 Univariate description (STT 28)</w:t>
      </w:r>
    </w:p>
    <w:p>
      <w:pPr>
        <w:pStyle w:val="FirstParagraph"/>
      </w:pPr>
      <w:r>
        <w:t xml:space="preserve">Engagement features are strongly right-skewed and heavy-tailed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(skew ≈ 35, kurtosis ≈ 2,125),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(skew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≈ 11)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 applied during cleaning. The full table (mean/median/std/quartiles/skew/kurtosis) is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Univariate distributions (histogram + KDE), coloured by feature group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Univariate boxplots (IQR outlier inspection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Categorical frequency distributions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1ed819a0125bdfd3266ccf29600abdffe594c6a"/>
    <w:p>
      <w:pPr>
        <w:pStyle w:val="Heading3"/>
      </w:pPr>
      <w:r>
        <w:t xml:space="preserve">4.3 Bivariate — numeric features vs. the target (STT 36)</w:t>
      </w:r>
    </w:p>
    <w:p>
      <w:pPr>
        <w:pStyle w:val="FirstParagraph"/>
      </w:pPr>
      <w:r>
        <w:t xml:space="preserve">Mann-Whitney U tests (BH-corrected) find</w:t>
      </w:r>
      <w:r>
        <w:t xml:space="preserve"> </w:t>
      </w:r>
      <w:r>
        <w:rPr>
          <w:b/>
          <w:bCs/>
        </w:rPr>
        <w:t xml:space="preserve">all 19 numeric features significant</w:t>
      </w:r>
      <w:r>
        <w:t xml:space="preserve"> </w:t>
      </w:r>
      <w:r>
        <w:t xml:space="preserve">(q &lt; 0.05) — unsurprising at n ≈ 32,593 — so</w:t>
      </w:r>
      <w:r>
        <w:t xml:space="preserve"> </w:t>
      </w:r>
      <w:r>
        <w:rPr>
          <w:b/>
          <w:bCs/>
        </w:rPr>
        <w:t xml:space="preserve">effect size</w:t>
      </w:r>
      <w:r>
        <w:t xml:space="preserve">, not the p-value, is the discriminator. Ranked by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</w:tbl>
    <w:p>
      <w:pPr>
        <w:pStyle w:val="BodyText"/>
      </w:pPr>
      <w:r>
        <w:t xml:space="preserve">Behaviour and performance dominate; demographics are weakest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 Full test table: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Discriminative power (|Cohen’s d|), coloured by feature group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The six strongest numeric features by class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4170f45b43f4f6ec3e7c1dde3c482d0c1a0b787"/>
    <w:p>
      <w:pPr>
        <w:pStyle w:val="Heading3"/>
      </w:pPr>
      <w:r>
        <w:t xml:space="preserve">4.4 Bivariate — categorical features vs. the target</w:t>
      </w:r>
    </w:p>
    <w:p>
      <w:pPr>
        <w:pStyle w:val="FirstParagraph"/>
      </w:pPr>
      <w:r>
        <w:t xml:space="preserve">Chi-square tests are significant, but the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effect sizes are small: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(0.15) and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(0.15) lead, while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(0.02) is negligible. Demographics carry limited standalone signal and are best retained for fairness analysis rather than predictive reliance.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At-risk rate across categorical levels (dashed = overall 52.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At-risk rate across categorical levels (dashed = overall 52.8%)</w:t>
      </w:r>
    </w:p>
    <w:bookmarkEnd w:id="45"/>
    <w:bookmarkStart w:id="55" w:name="Xe3aa3a0f768ed4b2e9d6a871b9bf327cb8dcd30"/>
    <w:p>
      <w:pPr>
        <w:pStyle w:val="Heading3"/>
      </w:pPr>
      <w:r>
        <w:t xml:space="preserve">4.5 Multivariate — correlation, multicollinearity, leakage (STT 37)</w:t>
      </w:r>
    </w:p>
    <w:p>
      <w:pPr>
        <w:pStyle w:val="FirstParagraph"/>
      </w:pPr>
      <w:r>
        <w:t xml:space="preserve">Pearson and Spearman agree on the structure. Two pairs are multicollinear (|r| ≥ 0.8):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(−0.83) — relevant to explanation stability (RQ2). 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(0.71).</w:t>
      </w:r>
      <w:r>
        <w:t xml:space="preserve"> </w:t>
      </w:r>
      <w:r>
        <w:rPr>
          <w:b/>
          <w:bCs/>
        </w:rPr>
        <w:t xml:space="preserve">No feature correlates ≥ 0.95 with the target</w:t>
      </w:r>
      <w:r>
        <w:t xml:space="preserve">, so none acts as a leakage proxy.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Correlation of features with the target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72028272aaeb99580bb8edbcb7e62ce055cec1b"/>
    <w:p>
      <w:pPr>
        <w:pStyle w:val="Heading3"/>
      </w:pPr>
      <w:r>
        <w:t xml:space="preserve">4.6 Time-aware analysis — when does the signal emerge? (STT 38, RQ1)</w:t>
      </w:r>
    </w:p>
    <w:p>
      <w:pPr>
        <w:pStyle w:val="FirstParagraph"/>
      </w:pPr>
      <w:r>
        <w:t xml:space="preserve">Tracking</w:t>
      </w:r>
      <w:r>
        <w:t xml:space="preserve"> </w:t>
      </w:r>
      <w:r>
        <w:rPr>
          <w:b/>
          <w:bCs/>
        </w:rPr>
        <w:t xml:space="preserve">|Cohen’s d| per checkpoint</w:t>
      </w:r>
      <w:r>
        <w:t xml:space="preserve"> </w:t>
      </w:r>
      <w:r>
        <w:t xml:space="preserve">shows how class separability grows as the course progresses.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already exceeds the large-effect threshold (d ≥ 0.8) at</w:t>
      </w:r>
      <w:r>
        <w:t xml:space="preserve"> </w:t>
      </w:r>
      <w:r>
        <w:rPr>
          <w:b/>
          <w:bCs/>
        </w:rPr>
        <w:t xml:space="preserve">t = 10%</w:t>
      </w:r>
      <w:r>
        <w:t xml:space="preserve">; the score and submission features cross it by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t = 40%</w:t>
      </w:r>
      <w:r>
        <w:t xml:space="preserve">. The behavioural signal is therefore actionable from ~20–40% of course length, grounding the RQ1 schedule in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earliest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with |d| ≥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Mean feature trajectory by class across checkpoints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Discrimination growth across checkpoints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96bbc7bc11811c449b270b3e9bc2b5b7509a4d5"/>
    <w:p>
      <w:pPr>
        <w:pStyle w:val="Heading3"/>
      </w:pPr>
      <w:r>
        <w:t xml:space="preserve">4.7 The Withdrawn early-warning signal (Step-0 Option A)</w:t>
      </w:r>
    </w:p>
    <w:p>
      <w:pPr>
        <w:pStyle w:val="FirstParagraph"/>
      </w:pPr>
      <w:r>
        <w:t xml:space="preserve">The data confirms Option A’s premise that withdrawal produces a genuine signal rather than noise: median inactivity is</w:t>
      </w:r>
      <w:r>
        <w:t xml:space="preserve"> </w:t>
      </w:r>
      <w:r>
        <w:rPr>
          <w:b/>
          <w:bCs/>
        </w:rPr>
        <w:t xml:space="preserve">11 days for not-at-risk, 116 for Fail, and 233 for Withdrawn</w:t>
      </w:r>
      <w:r>
        <w:t xml:space="preserve">, while median total clicks fall from</w:t>
      </w:r>
      <w:r>
        <w:t xml:space="preserve"> </w:t>
      </w:r>
      <w:r>
        <w:rPr>
          <w:b/>
          <w:bCs/>
        </w:rPr>
        <w:t xml:space="preserve">1,425 (not-at-risk) to 89 (Withdrawn)</w:t>
      </w:r>
      <w:r>
        <w:t xml:space="preserve">. The activity collapse of withdrawing students is exactly what makes early detection feasible.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Withdrawn students: the activity-decay signal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Withdrawn students: the activity-decay signal</w:t>
      </w:r>
    </w:p>
    <w:bookmarkEnd w:id="66"/>
    <w:bookmarkStart w:id="67" w:name="findings-and-implications-for-modelling"/>
    <w:p>
      <w:pPr>
        <w:pStyle w:val="Heading3"/>
      </w:pPr>
      <w:r>
        <w:t xml:space="preserve">4.8 Findings and implications for modelling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early, growing signal.</w:t>
      </w:r>
      <w:r>
        <w:t xml:space="preserve"> </w:t>
      </w:r>
      <w:r>
        <w:t xml:space="preserve">Behavioural/performance features separate the classes from t = 10–20% and strengthen monotonically; 40–60% is a robust, actionable window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≫ demographics.</w:t>
      </w:r>
      <w:r>
        <w:t xml:space="preserve"> </w:t>
      </w:r>
      <w:r>
        <w:t xml:space="preserve">Engagement/performance reach d &gt; 2 while demographic association stays small (Cramér’s V ≤ 0.15), reproducing Tomasevic et al. [2]; SHAP/LIME are expected to rank behavioural features highest.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resampling may add little; RQ3 quantifies SMOTE/ADASYN/class-weight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features.</w:t>
      </w:r>
      <w:r>
        <w:t xml:space="preserve"> </w:t>
      </w:r>
      <w:r>
        <w:t xml:space="preserve">Multicollinear engagement features may destabilise explanation importance — a factor the stability metric must account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no leakage.</w:t>
      </w:r>
      <w:r>
        <w:t xml:space="preserve"> </w:t>
      </w:r>
      <w:r>
        <w:t xml:space="preserve">No feature is near-perfectly correlated with the label, and the time-aware cut removes future events; held-out estimates should be trustworthy.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2026-06-14T17:15:49Z</dcterms:created>
  <dcterms:modified xsi:type="dcterms:W3CDTF">2026-06-14T17:15:49Z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