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quantifies this limitation with the sensitivity analysis on the still-enrolled subpopulation described in Section 5 — the evaluation-side counterpart of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Xe43f6e8e53dd3caf198d7fffbb8db82343ae0bc"/>
    <w:p>
      <w:pPr>
        <w:pStyle w:val="Heading2"/>
      </w:pPr>
      <w:r>
        <w:t xml:space="preserve">5. Two reading frames of the target (estimand clarification)</w:t>
      </w:r>
    </w:p>
    <w:p>
      <w:pPr>
        <w:pStyle w:val="FirstParagraph"/>
      </w:pPr>
      <w:r>
        <w:t xml:space="preserve">The fixed label of Option A supports two distinct estimands, and every headline metric must state which one it refers to.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End-of-course outcome classification — primary benchmark frame.</w:t>
      </w:r>
      <w:r>
        <w:t xml:space="preserve"> </w:t>
      </w:r>
      <w:r>
        <w:t xml:space="preserve">The question</w:t>
      </w:r>
      <w:r>
        <w:t xml:space="preserve"> </w:t>
      </w:r>
      <w:r>
        <w:t xml:space="preserve">“will this enrolment end in Fail or Withdrawn?”</w:t>
      </w:r>
      <w:r>
        <w:t xml:space="preserve"> </w:t>
      </w:r>
      <w:r>
        <w:t xml:space="preserve">is well defined on all 32,593 enrolment records at every checkpoint. This is the frame in which results are comparable with the baseline literature (Adnan et al., 2021; Tomasevic et al., 2020), which likewise retains the full cohort, and it is the frame of the project’s primary benchmark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Early warning for intervention — still-enrolled frame.</w:t>
      </w:r>
      <w:r>
        <w:t xml:space="preserve"> </w:t>
      </w:r>
      <w:r>
        <w:t xml:space="preserve">An intervention can only reach students who have not yet withdrawn, so the operational question</w:t>
      </w:r>
      <w:r>
        <w:t xml:space="preserve"> </w:t>
      </w:r>
      <w:r>
        <w:t xml:space="preserve">“whom should a tutor contact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?”</w:t>
      </w:r>
      <w:r>
        <w:t xml:space="preserve"> </w:t>
      </w:r>
      <w:r>
        <w:t xml:space="preserve">is meaningful only on the subpopulation still enrolled at the cutoff. Already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10%, 4,833 of 32,593 enrolments have withdrawn before the cutoff (923 of them in the test set); for these records there is nothing left to predict — only to record.</w:t>
      </w:r>
    </w:p>
    <w:p>
      <w:pPr>
        <w:pStyle w:val="FirstParagraph"/>
      </w:pPr>
      <w:r>
        <w:rPr>
          <w:b/>
          <w:bCs/>
        </w:rPr>
        <w:t xml:space="preserve">Measured consequence.</w:t>
      </w:r>
      <w:r>
        <w:t xml:space="preserve"> </w:t>
      </w:r>
      <w:r>
        <w:t xml:space="preserve">XGBoost recall on the at-risk class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40/80/100% is 0.81/0.90/0.93 on the full cohort but 0.678/0.779/0.841 on the still-enrolled subgroup (</w:t>
      </w:r>
      <w:r>
        <w:rPr>
          <w:rStyle w:val="VerbatimChar"/>
        </w:rPr>
        <w:t xml:space="preserve">reports/tables/sensitivity_active_xgb.csv</w:t>
      </w:r>
      <w:r>
        <w:t xml:space="preserve">, produced by</w:t>
      </w:r>
      <w:r>
        <w:t xml:space="preserve"> </w:t>
      </w:r>
      <w:r>
        <w:rPr>
          <w:rStyle w:val="VerbatimChar"/>
        </w:rPr>
        <w:t xml:space="preserve">tools/sensitivity_active.py</w:t>
      </w:r>
      <w:r>
        <w:t xml:space="preserve">). Against the recall ≥ 0.80 criterion of RQ1, the full cohort qualifies from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40%, whereas the still-enrolled subgroup qualifies only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100%. Consistently, the strongest SHAP feature is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(mean |SHAP| 3.57): on the full cohort, part of the model’s strength is</w:t>
      </w:r>
      <w:r>
        <w:t xml:space="preserve"> </w:t>
      </w:r>
      <w:r>
        <w:rPr>
          <w:i/>
          <w:iCs/>
        </w:rPr>
        <w:t xml:space="preserve">detecting students who have already left</w:t>
      </w:r>
      <w:r>
        <w:t xml:space="preserve">, not only</w:t>
      </w:r>
      <w:r>
        <w:t xml:space="preserve"> </w:t>
      </w:r>
      <w:r>
        <w:rPr>
          <w:i/>
          <w:iCs/>
        </w:rPr>
        <w:t xml:space="preserve">forecasting future risk</w:t>
      </w:r>
      <w:r>
        <w:t xml:space="preserve">. This is</w:t>
      </w:r>
      <w:r>
        <w:t xml:space="preserve"> </w:t>
      </w:r>
      <w:r>
        <w:rPr>
          <w:b/>
          <w:bCs/>
        </w:rPr>
        <w:t xml:space="preserve">not leakage</w:t>
      </w:r>
      <w:r>
        <w:t xml:space="preserve"> </w:t>
      </w:r>
      <w:r>
        <w:t xml:space="preserve">— the label never enters the features, and the low activity of withdrawn students is genuine behaviour — it is a</w:t>
      </w:r>
      <w:r>
        <w:t xml:space="preserve"> </w:t>
      </w:r>
      <w:r>
        <w:rPr>
          <w:b/>
          <w:bCs/>
        </w:rPr>
        <w:t xml:space="preserve">population-definition issue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 rule.</w:t>
      </w:r>
      <w:r>
        <w:t xml:space="preserve"> </w:t>
      </w:r>
      <w:r>
        <w:t xml:space="preserve">Any statement of the form</w:t>
      </w:r>
      <w:r>
        <w:t xml:space="preserve"> </w:t>
      </w:r>
      <w:r>
        <w:t xml:space="preserve">“predictions are reliable from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40%”</w:t>
      </w:r>
      <w:r>
        <w:t xml:space="preserve"> </w:t>
      </w:r>
      <w:r>
        <w:t xml:space="preserve">must state the cohort it refers to. The project therefore reports both frames side by side: full-cohort results as the primary benchmark, still-enrolled results as the intervention-oriented sensitivity analysis.</w:t>
      </w:r>
    </w:p>
    <w:bookmarkEnd w:id="13"/>
    <w:bookmarkStart w:id="14" w:name="consequences-for-downstream-work"/>
    <w:p>
      <w:pPr>
        <w:pStyle w:val="Heading2"/>
      </w:pPr>
      <w:r>
        <w:t xml:space="preserve">6.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2026-07-12T05:43:52Z</dcterms:created>
  <dcterms:modified xsi:type="dcterms:W3CDTF">2026-07-12T05:43:52Z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