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411eb9a3c22bb0de56f6749dda4c8cd500720a4"/>
    <w:p>
      <w:pPr>
        <w:pStyle w:val="Heading1"/>
      </w:pPr>
      <w:r>
        <w:t xml:space="preserve">Định nghĩa biến mục tiêu và quy ước xử lý Withdrawn theo thời gian</w:t>
      </w:r>
    </w:p>
    <w:p>
      <w:pPr>
        <w:pStyle w:val="FirstParagraph"/>
      </w:pPr>
      <w:r>
        <w:rPr>
          <w:i/>
          <w:iCs/>
        </w:rPr>
        <w:t xml:space="preserve">Nhãn nhị phân at-risk cho bài toán phát hiện sớm sinh viên nguy cơ trên OULAD</w:t>
      </w:r>
    </w:p>
    <w:p>
      <w:pPr>
        <w:pStyle w:val="BodyText"/>
      </w:pPr>
      <w:r>
        <w:rPr>
          <w:b/>
          <w:bCs/>
        </w:rPr>
        <w:t xml:space="preserve">DSP391m – Nhóm 1 · Báo cáo 2 (Tác vụ dữ liệu), Chương 3 · Hạng mục STT 1 (cả nhóm) &amp; STT 26 (Sơn)</w:t>
      </w:r>
      <w:r>
        <w:t xml:space="preserve"> </w:t>
      </w:r>
      <w:r>
        <w:rPr>
          <w:i/>
          <w:iCs/>
        </w:rPr>
        <w:t xml:space="preserve">Tham chiếu: biên bản thống nhất nhóm BB-B0-N1 (Bước 0).</w:t>
      </w:r>
    </w:p>
    <w:p>
      <w:r>
        <w:pict>
          <v:rect style="width:0;height:1.5pt" o:hralign="center" o:hrstd="t" o:hr="t"/>
        </w:pict>
      </w:r>
    </w:p>
    <w:bookmarkStart w:id="9" w:name="phát-biểu-bài-toán"/>
    <w:p>
      <w:pPr>
        <w:pStyle w:val="Heading2"/>
      </w:pPr>
      <w:r>
        <w:t xml:space="preserve">1. Phát biểu bài toán</w:t>
      </w:r>
    </w:p>
    <w:p>
      <w:pPr>
        <w:pStyle w:val="FirstParagraph"/>
      </w:pPr>
      <w:r>
        <w:t xml:space="preserve">Đề tài là bài toán</w:t>
      </w:r>
      <w:r>
        <w:t xml:space="preserve"> </w:t>
      </w:r>
      <w:r>
        <w:rPr>
          <w:b/>
          <w:bCs/>
        </w:rPr>
        <w:t xml:space="preserve">phân loại nhị phân</w:t>
      </w:r>
      <w:r>
        <w:t xml:space="preserve"> </w:t>
      </w:r>
      <w:r>
        <w:t xml:space="preserve">(binary classification): tại mỗi mốc tiến độ khoá học, dự đoán sinh viên có</w:t>
      </w:r>
      <w:r>
        <w:t xml:space="preserve"> </w:t>
      </w:r>
      <w:r>
        <w:rPr>
          <w:b/>
          <w:bCs/>
        </w:rPr>
        <w:t xml:space="preserve">nguy cơ (at-risk)</w:t>
      </w:r>
      <w:r>
        <w:t xml:space="preserve"> </w:t>
      </w:r>
      <w:r>
        <w:t xml:space="preserve">hay không. Không thực hiện hồi quy điểm; chỉ sử dụng OULAD. Nhãn được suy ra từ trường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trong bảng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cố định xuyên suốt sáu mốc thời gian</w:t>
      </w:r>
      <w:r>
        <w:t xml:space="preserve">.</w:t>
      </w:r>
    </w:p>
    <w:bookmarkEnd w:id="9"/>
    <w:bookmarkStart w:id="10" w:name="ánh-xạ-final_result-sang-nhãn-nhị-phân"/>
    <w:p>
      <w:pPr>
        <w:pStyle w:val="Heading2"/>
      </w:pPr>
      <w:r>
        <w:t xml:space="preserve">2. Ánh xạ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sang nhãn nhị phân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Nhãn (mã)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Đạt loại giỏi</w:t>
            </w:r>
          </w:p>
        </w:tc>
        <w:tc>
          <w:tcPr/>
          <w:p>
            <w:pPr>
              <w:pStyle w:val="Compact"/>
            </w:pPr>
            <w:r>
              <w:t xml:space="preserve">Đạt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Đạt</w:t>
            </w:r>
          </w:p>
        </w:tc>
        <w:tc>
          <w:tcPr/>
          <w:p>
            <w:pPr>
              <w:pStyle w:val="Compact"/>
            </w:pPr>
            <w:r>
              <w:t xml:space="preserve">Đạt</w:t>
            </w:r>
          </w:p>
        </w:tc>
        <w:tc>
          <w:tcPr/>
          <w:p>
            <w:pPr>
              <w:pStyle w:val="Compact"/>
            </w:pPr>
            <w:r>
              <w:t xml:space="preserve">not-at-risk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Trượt môn</w:t>
            </w:r>
          </w:p>
        </w:tc>
        <w:tc>
          <w:tcPr/>
          <w:p>
            <w:pPr>
              <w:pStyle w:val="Compact"/>
            </w:pPr>
            <w:r>
              <w:t xml:space="preserve">Nguy cơ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Rút môn</w:t>
            </w:r>
          </w:p>
        </w:tc>
        <w:tc>
          <w:tcPr/>
          <w:p>
            <w:pPr>
              <w:pStyle w:val="Compact"/>
            </w:pPr>
            <w:r>
              <w:t xml:space="preserve">Nguy cơ</w:t>
            </w:r>
          </w:p>
        </w:tc>
        <w:tc>
          <w:tcPr/>
          <w:p>
            <w:pPr>
              <w:pStyle w:val="Compact"/>
            </w:pPr>
            <w:r>
              <w:t xml:space="preserve">at-risk (1)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df["at_risk"] = df["final_result"].isin(["Fail", "Withdrawn"]).astype(int)</w:t>
      </w:r>
      <w:r>
        <w:br/>
      </w:r>
      <w:r>
        <w:rPr>
          <w:rStyle w:val="VerbatimChar"/>
        </w:rPr>
        <w:t xml:space="preserve"># 1 = at-risk (lớp dương cần phát hiện); 0 = not-at-risk</w:t>
      </w:r>
    </w:p>
    <w:p>
      <w:pPr>
        <w:pStyle w:val="FirstParagraph"/>
      </w:pPr>
      <w:r>
        <w:rPr>
          <w:b/>
          <w:bCs/>
        </w:rPr>
        <w:t xml:space="preserve">Hợp nhất Distinction vào Pass.</w:t>
      </w:r>
      <w:r>
        <w:t xml:space="preserve"> </w:t>
      </w:r>
      <w:r>
        <w:t xml:space="preserve">Bài toán là nhị phân; Distinction là kết quả</w:t>
      </w:r>
      <w:r>
        <w:t xml:space="preserve"> </w:t>
      </w:r>
      <w:r>
        <w:rPr>
          <w:i/>
          <w:iCs/>
        </w:rPr>
        <w:t xml:space="preserve">tốt hơn</w:t>
      </w:r>
      <w:r>
        <w:t xml:space="preserve"> </w:t>
      </w:r>
      <w:r>
        <w:t xml:space="preserve">Pass và không thuộc đối tượng cần can thiệp. Việc hợp nhất giúp định nghĩa lớp rõ ràng, tránh tạo thêm một lớp quá nhỏ, và bám đúng mục tiêu</w:t>
      </w:r>
      <w:r>
        <w:t xml:space="preserve"> </w:t>
      </w:r>
      <w:r>
        <w:rPr>
          <w:i/>
          <w:iCs/>
        </w:rPr>
        <w:t xml:space="preserve">phát hiện nguy cơ</w:t>
      </w:r>
      <w:r>
        <w:t xml:space="preserve"> </w:t>
      </w:r>
      <w:r>
        <w:t xml:space="preserve">thay vì</w:t>
      </w:r>
      <w:r>
        <w:t xml:space="preserve"> </w:t>
      </w:r>
      <w:r>
        <w:rPr>
          <w:i/>
          <w:iCs/>
        </w:rPr>
        <w:t xml:space="preserve">xếp hạng mức độ đạt</w:t>
      </w:r>
      <w:r>
        <w:t xml:space="preserve">.</w:t>
      </w:r>
    </w:p>
    <w:bookmarkEnd w:id="10"/>
    <w:bookmarkStart w:id="11" w:name="Xe709b3bf341e48536dfde88ab1cbacaf0eba2c2"/>
    <w:p>
      <w:pPr>
        <w:pStyle w:val="Heading2"/>
      </w:pPr>
      <w:r>
        <w:t xml:space="preserve">3. Phân phối lớp thực tế (không dùng số liệu minh hoạ trên slide)</w:t>
      </w:r>
    </w:p>
    <w:p>
      <w:pPr>
        <w:pStyle w:val="FirstParagraph"/>
      </w:pPr>
      <w:r>
        <w:t xml:space="preserve">Đo trên 32.593 bản ghi sinh viên–môn–kỳ của</w:t>
      </w:r>
      <w:r>
        <w:t xml:space="preserve"> </w:t>
      </w:r>
      <w:r>
        <w:rPr>
          <w:rStyle w:val="VerbatimChar"/>
        </w:rPr>
        <w:t xml:space="preserve">studentInfo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  <w:r>
              <w:t xml:space="preserve"> </w:t>
            </w: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Tỉ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not-at-risk (0)</w:t>
            </w:r>
          </w:p>
        </w:tc>
        <w:tc>
          <w:tcPr/>
          <w:p>
            <w:pPr>
              <w:pStyle w:val="Compact"/>
            </w:pPr>
            <w:r>
              <w:t xml:space="preserve">Pass (12.361) + Distinction (3.024)</w:t>
            </w:r>
          </w:p>
        </w:tc>
        <w:tc>
          <w:tcPr/>
          <w:p>
            <w:pPr>
              <w:pStyle w:val="Compact"/>
            </w:pPr>
            <w:r>
              <w:t xml:space="preserve">15.385</w:t>
            </w:r>
          </w:p>
        </w:tc>
        <w:tc>
          <w:tcPr/>
          <w:p>
            <w:pPr>
              <w:pStyle w:val="Compact"/>
            </w:pPr>
            <w:r>
              <w:t xml:space="preserve">47,2%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(1)</w:t>
            </w:r>
          </w:p>
        </w:tc>
        <w:tc>
          <w:tcPr/>
          <w:p>
            <w:pPr>
              <w:pStyle w:val="Compact"/>
            </w:pPr>
            <w:r>
              <w:t xml:space="preserve">Fail (7.052) + Withdrawn (10.156)</w:t>
            </w:r>
          </w:p>
        </w:tc>
        <w:tc>
          <w:tcPr/>
          <w:p>
            <w:pPr>
              <w:pStyle w:val="Compact"/>
            </w:pPr>
            <w:r>
              <w:t xml:space="preserve">17.208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52,8%</w:t>
            </w:r>
          </w:p>
        </w:tc>
      </w:tr>
    </w:tbl>
    <w:p>
      <w:pPr>
        <w:pStyle w:val="BodyText"/>
      </w:pPr>
      <w:r>
        <w:t xml:space="preserve">Như vậy lớp at-risk là</w:t>
      </w:r>
      <w:r>
        <w:t xml:space="preserve"> </w:t>
      </w:r>
      <w:r>
        <w:rPr>
          <w:b/>
          <w:bCs/>
        </w:rPr>
        <w:t xml:space="preserve">lớp đa số nhẹ</w:t>
      </w:r>
      <w:r>
        <w:t xml:space="preserve"> </w:t>
      </w:r>
      <w:r>
        <w:t xml:space="preserve">(≈52,8%); mức</w:t>
      </w:r>
      <w:r>
        <w:t xml:space="preserve"> </w:t>
      </w:r>
      <w:r>
        <w:rPr>
          <w:b/>
          <w:bCs/>
        </w:rPr>
        <w:t xml:space="preserve">mất cân bằng là nhẹ</w:t>
      </w:r>
      <w:r>
        <w:t xml:space="preserve">. Con số</w:t>
      </w:r>
      <w:r>
        <w:t xml:space="preserve"> </w:t>
      </w:r>
      <w:r>
        <w:t xml:space="preserve">“68/32”</w:t>
      </w:r>
      <w:r>
        <w:t xml:space="preserve"> </w:t>
      </w:r>
      <w:r>
        <w:t xml:space="preserve">đôi khi xuất hiện trên slide chỉ</w:t>
      </w:r>
      <w:r>
        <w:t xml:space="preserve"> </w:t>
      </w:r>
      <w:r>
        <w:rPr>
          <w:b/>
          <w:bCs/>
        </w:rPr>
        <w:t xml:space="preserve">mang tính minh hoạ</w:t>
      </w:r>
      <w:r>
        <w:t xml:space="preserve"> </w:t>
      </w:r>
      <w:r>
        <w:t xml:space="preserve">và không được trích dẫn như số liệu của bộ dữ liệu. Dù mất cân bằng nhẹ, việc đánh giá vẫn dùng</w:t>
      </w:r>
      <w:r>
        <w:t xml:space="preserve"> </w:t>
      </w:r>
      <w:r>
        <w:rPr>
          <w:b/>
          <w:bCs/>
        </w:rPr>
        <w:t xml:space="preserve">PR-AUC và recall trên lớp at-risk</w:t>
      </w:r>
      <w:r>
        <w:t xml:space="preserve">, vì bỏ sót một sinh viên nguy cơ là sai lầm tốn kém nhất (xem STT 25).</w:t>
      </w:r>
    </w:p>
    <w:bookmarkEnd w:id="11"/>
    <w:bookmarkStart w:id="12" w:name="X60345707c7a666f00990953a74ecb50733127a8"/>
    <w:p>
      <w:pPr>
        <w:pStyle w:val="Heading2"/>
      </w:pPr>
      <w:r>
        <w:t xml:space="preserve">4. Quy ước xử lý Withdrawn theo thời gian — Phương án A (đã chọn)</w:t>
      </w:r>
    </w:p>
    <w:p>
      <w:pPr>
        <w:pStyle w:val="FirstParagraph"/>
      </w:pPr>
      <w:r>
        <w:t xml:space="preserve">Tại mốc</w:t>
      </w:r>
      <w:r>
        <w:t xml:space="preserve"> </w:t>
      </w:r>
      <w:r>
        <w:rPr>
          <w:i/>
          <w:iCs/>
        </w:rPr>
        <w:t xml:space="preserve">t%</w:t>
      </w:r>
      <w:r>
        <w:t xml:space="preserve">, một sinh viên Withdrawn có thể rút môn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ngày mốc. Nhóm chọn</w:t>
      </w:r>
      <w:r>
        <w:t xml:space="preserve"> </w:t>
      </w:r>
      <w:r>
        <w:rPr>
          <w:b/>
          <w:bCs/>
        </w:rPr>
        <w:t xml:space="preserve">Phương án A — nhãn cố định, giữ nguyên quần thể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Nhãn của mỗi sinh viên</w:t>
      </w:r>
      <w:r>
        <w:t xml:space="preserve"> </w:t>
      </w:r>
      <w:r>
        <w:rPr>
          <w:b/>
          <w:bCs/>
        </w:rPr>
        <w:t xml:space="preserve">cố định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tại mọi mốc (nhãn không đổi theo</w:t>
      </w:r>
      <w:r>
        <w:t xml:space="preserve"> </w:t>
      </w:r>
      <w:r>
        <w:rPr>
          <w:i/>
          <w:iCs/>
        </w:rPr>
        <w:t xml:space="preserve">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Tập sinh viên</w:t>
      </w:r>
      <w:r>
        <w:t xml:space="preserve"> </w:t>
      </w:r>
      <w:r>
        <w:rPr>
          <w:b/>
          <w:bCs/>
        </w:rPr>
        <w:t xml:space="preserve">đồng nhất</w:t>
      </w:r>
      <w:r>
        <w:t xml:space="preserve"> </w:t>
      </w:r>
      <w:r>
        <w:t xml:space="preserve">qua cả sáu mốc và tập kiểm tra, đáp ứng yêu cầu tập kiểm tra cố định (STT 8).</w:t>
      </w:r>
    </w:p>
    <w:p>
      <w:pPr>
        <w:pStyle w:val="Compact"/>
        <w:numPr>
          <w:ilvl w:val="0"/>
          <w:numId w:val="1001"/>
        </w:numPr>
      </w:pPr>
      <w:r>
        <w:t xml:space="preserve">Sinh viên Withdrawn rút trước mốc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vẫn được</w:t>
      </w:r>
      <w:r>
        <w:t xml:space="preserve"> </w:t>
      </w:r>
      <w:r>
        <w:rPr>
          <w:b/>
          <w:bCs/>
        </w:rPr>
        <w:t xml:space="preserve">giữ</w:t>
      </w:r>
      <w:r>
        <w:t xml:space="preserve"> </w:t>
      </w:r>
      <w:r>
        <w:t xml:space="preserve">trong dữ liệu mốc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và vẫn</w:t>
      </w:r>
      <w:r>
        <w:t xml:space="preserve"> </w:t>
      </w:r>
      <w:r>
        <w:rPr>
          <w:b/>
          <w:bCs/>
        </w:rPr>
        <w:t xml:space="preserve">gán nhãn at-risk</w:t>
      </w:r>
      <w:r>
        <w:t xml:space="preserve">. Đặc trưng của họ chỉ phản ánh hoạt động tới ngày rút nên rất thấp — và chính</w:t>
      </w:r>
      <w:r>
        <w:t xml:space="preserve"> </w:t>
      </w:r>
      <w:r>
        <w:rPr>
          <w:b/>
          <w:bCs/>
        </w:rPr>
        <w:t xml:space="preserve">sự suy giảm hoạt động này là tín hiệu cảnh báo sớm</w:t>
      </w:r>
      <w:r>
        <w:t xml:space="preserve">, không phải lỗi dữ liệu.</w:t>
      </w:r>
    </w:p>
    <w:p>
      <w:pPr>
        <w:pStyle w:val="Compact"/>
        <w:numPr>
          <w:ilvl w:val="0"/>
          <w:numId w:val="1001"/>
        </w:numPr>
      </w:pPr>
      <w:r>
        <w:t xml:space="preserve">Hàm cắt theo thời gian (STT 11) tự động loại mọi sự kiện có ngày vượt mốc, nên</w:t>
      </w:r>
      <w:r>
        <w:t xml:space="preserve"> </w:t>
      </w:r>
      <w:r>
        <w:rPr>
          <w:b/>
          <w:bCs/>
        </w:rPr>
        <w:t xml:space="preserve">không phát sinh rò rỉ thời gian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Hạn chế cần ghi nhận.</w:t>
      </w:r>
      <w:r>
        <w:t xml:space="preserve"> </w:t>
      </w:r>
      <w:r>
        <w:t xml:space="preserve">Ở các mốc muộn, sinh viên rút sớm gần như không còn hoạt động nên mô hình dễ phát hiện, có thể khiến recall và PR-AUC lạc quan hơn thực tế. Báo cáo nêu rõ hạn chế này và, nếu tiến độ cho phép, kiểm chứng bằng phân tích độ nhạy theo</w:t>
      </w:r>
      <w:r>
        <w:t xml:space="preserve"> </w:t>
      </w:r>
      <w:r>
        <w:rPr>
          <w:i/>
          <w:iCs/>
        </w:rPr>
        <w:t xml:space="preserve">Phương án B (kiểm duyệt theo mốc)</w:t>
      </w:r>
      <w:r>
        <w:t xml:space="preserve">.</w:t>
      </w:r>
    </w:p>
    <w:bookmarkEnd w:id="12"/>
    <w:bookmarkStart w:id="13" w:name="hệ-quả-cho-các-bước-phía-sau"/>
    <w:p>
      <w:pPr>
        <w:pStyle w:val="Heading2"/>
      </w:pPr>
      <w:r>
        <w:t xml:space="preserve">5. Hệ quả cho các bước phía sau</w:t>
      </w:r>
    </w:p>
    <w:p>
      <w:pPr>
        <w:pStyle w:val="FirstParagraph"/>
      </w:pPr>
      <w:r>
        <w:t xml:space="preserve">Mọi hạng mục phụ thuộc</w:t>
      </w:r>
      <w:r>
        <w:t xml:space="preserve"> </w:t>
      </w:r>
      <w:r>
        <w:t xml:space="preserve">“Bước 0”</w:t>
      </w:r>
      <w:r>
        <w:t xml:space="preserve"> </w:t>
      </w:r>
      <w:r>
        <w:t xml:space="preserve">đều kế thừa định nghĩa này: quy tắc phòng rò rỉ (STT 12), khảo sát lược đồ và bảng quy đổi mốc (STT 9, 10), thiết kế phân chia (STT 21), và tài liệu nguồn gốc/đạo đức (STT 30). Tên cột mục tiêu là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;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chỉ được giữ lại như nguồn gốc thô của nhãn.</w:t>
      </w:r>
    </w:p>
    <w:bookmarkEnd w:id="13"/>
    <w:bookmarkStart w:id="14" w:name="tài-liệu-tham-khảo"/>
    <w:p>
      <w:pPr>
        <w:pStyle w:val="Heading2"/>
      </w:pPr>
      <w:r>
        <w:t xml:space="preserve">Tài liệu tham khảo</w:t>
      </w:r>
    </w:p>
    <w:p>
      <w:pPr>
        <w:pStyle w:val="Compact"/>
        <w:numPr>
          <w:ilvl w:val="0"/>
          <w:numId w:val="1002"/>
        </w:numPr>
      </w:pPr>
      <w:r>
        <w:t xml:space="preserve">M. Adnan và cộng sự,</w:t>
      </w:r>
      <w:r>
        <w:t xml:space="preserve"> </w:t>
      </w:r>
      <w:r>
        <w:t xml:space="preserve">“Predicting at-Risk Students at Different Percentages of Course Length for Early Intervention,”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tr. 7519–7539, 2021.</w:t>
      </w:r>
    </w:p>
    <w:p>
      <w:pPr>
        <w:pStyle w:val="Compact"/>
        <w:numPr>
          <w:ilvl w:val="0"/>
          <w:numId w:val="1002"/>
        </w:numPr>
      </w:pPr>
      <w:r>
        <w:t xml:space="preserve">N. Tomasevic, N. Gvozdenovic, S. Vranes,</w:t>
      </w:r>
      <w:r>
        <w:t xml:space="preserve"> </w:t>
      </w:r>
      <w:r>
        <w:t xml:space="preserve">“An overview and comparison of supervised data mining techniques for student exam performance prediction,”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p>
      <w:pPr>
        <w:pStyle w:val="Compact"/>
        <w:numPr>
          <w:ilvl w:val="0"/>
          <w:numId w:val="1002"/>
        </w:numPr>
      </w:pPr>
      <w:r>
        <w:t xml:space="preserve">J. Kuzilek, M. Hlosta, Z. Zdrahal,</w:t>
      </w:r>
      <w:r>
        <w:t xml:space="preserve"> </w:t>
      </w:r>
      <w:r>
        <w:t xml:space="preserve">“Open University Learning Analytics dataset,”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2026-06-14T15:06:40Z</dcterms:created>
  <dcterms:modified xsi:type="dcterms:W3CDTF">2026-06-14T15:06:40Z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