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8.png" ContentType="image/png"/>
  <Override PartName="/word/media/rId35.png" ContentType="image/png"/>
  <Override PartName="/word/media/rId38.png" ContentType="image/png"/>
  <Override PartName="/word/media/rId17.png" ContentType="image/png"/>
  <Override PartName="/word/media/rId24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X8a471c74e89b0d88307cc9a6d4bf59726ca54c4"/>
    <w:p>
      <w:pPr>
        <w:pStyle w:val="Heading1"/>
      </w:pPr>
      <w:r>
        <w:t xml:space="preserve">Report 2 — Data Tasks: Collection, Cleaning, and Exploratory Data Analysis</w:t>
      </w:r>
    </w:p>
    <w:p>
      <w:pPr>
        <w:pStyle w:val="FirstParagraph"/>
      </w:pPr>
      <w:r>
        <w:rPr>
          <w:b/>
          <w:bCs/>
        </w:rPr>
        <w:t xml:space="preserve">DSP391m – Data Science Capstone Project · Group 1 · FPT University</w:t>
      </w:r>
      <w:r>
        <w:t xml:space="preserve"> </w:t>
      </w:r>
      <w:r>
        <w:rPr>
          <w:i/>
          <w:iCs/>
        </w:rPr>
        <w:t xml:space="preserve">Project: Time-Aware Explainable Machine Learning for Early At-Risk Student Prediction on OULAD · Supervisor: Nguyễn Thị Hoàng Yến</w:t>
      </w:r>
      <w:r>
        <w:t xml:space="preserve"> </w:t>
      </w:r>
      <w:r>
        <w:rPr>
          <w:i/>
          <w:iCs/>
        </w:rPr>
        <w:t xml:space="preserve">Scope: CLO3–CLO4 · Chapter 3 (Collection &amp; Cleaning) and Chapter 4 (EDA). This draft synthesises the team deliverables; detailed standalone documents are referenced inline.</w:t>
      </w:r>
    </w:p>
    <w:p>
      <w:r>
        <w:pict>
          <v:rect style="width:0;height:1.5pt" o:hralign="center" o:hrstd="t" o:hr="t"/>
        </w:pict>
      </w:r>
    </w:p>
    <w:bookmarkStart w:id="16" w:name="chapter-3-data-collection-and-cleaning"/>
    <w:p>
      <w:pPr>
        <w:pStyle w:val="Heading2"/>
      </w:pPr>
      <w:r>
        <w:t xml:space="preserve">Chapter 3 — Data Collection and Cleaning</w:t>
      </w:r>
    </w:p>
    <w:bookmarkStart w:id="9" w:name="data-source-licence-and-ethics"/>
    <w:p>
      <w:pPr>
        <w:pStyle w:val="Heading3"/>
      </w:pPr>
      <w:r>
        <w:t xml:space="preserve">3.1 Data source, licence, and ethics</w:t>
      </w:r>
    </w:p>
    <w:p>
      <w:pPr>
        <w:pStyle w:val="FirstParagraph"/>
      </w:pPr>
      <w:r>
        <w:t xml:space="preserve">This project uses the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et al., 2017 [3]):</w:t>
      </w:r>
      <w:r>
        <w:t xml:space="preserve"> </w:t>
      </w:r>
      <w:r>
        <w:rPr>
          <w:b/>
          <w:bCs/>
        </w:rPr>
        <w:t xml:space="preserve">32,593</w:t>
      </w:r>
      <w:r>
        <w:t xml:space="preserve"> </w:t>
      </w:r>
      <w:r>
        <w:t xml:space="preserve">student–module–presentation records over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module-presentations and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relational tables, covering three feature groups (demographic, engagement/VLE, assessment performance) and the outcome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is</w:t>
      </w:r>
      <w:r>
        <w:t xml:space="preserve"> </w:t>
      </w:r>
      <w:r>
        <w:rPr>
          <w:b/>
          <w:bCs/>
        </w:rPr>
        <w:t xml:space="preserve">anonymised at source</w:t>
      </w:r>
      <w:r>
        <w:t xml:space="preserve"> </w:t>
      </w:r>
      <w:r>
        <w:t xml:space="preserve">and distributed under</w:t>
      </w:r>
      <w:r>
        <w:t xml:space="preserve"> </w:t>
      </w:r>
      <w:r>
        <w:rPr>
          <w:b/>
          <w:bCs/>
        </w:rPr>
        <w:t xml:space="preserve">CC-BY 4.0</w:t>
      </w:r>
      <w:r>
        <w:t xml:space="preserve">, so the ethical requirement is met by correct citation; no sensitive personal data is processed. Data-collection methods and the rationale for a public secondary dataset are analysed in</w:t>
      </w:r>
      <w:r>
        <w:t xml:space="preserve"> </w:t>
      </w:r>
      <w:r>
        <w:rPr>
          <w:rStyle w:val="VerbatimChar"/>
        </w:rPr>
        <w:t xml:space="preserve">docs/03_DataCollection_Methods</w:t>
      </w:r>
      <w:r>
        <w:t xml:space="preserve">; the source/licence/ethics statement is in</w:t>
      </w:r>
      <w:r>
        <w:t xml:space="preserve"> </w:t>
      </w:r>
      <w:r>
        <w:rPr>
          <w:rStyle w:val="VerbatimChar"/>
        </w:rPr>
        <w:t xml:space="preserve">docs/DataSource_License_Ethics</w:t>
      </w:r>
      <w:r>
        <w:t xml:space="preserve">.</w:t>
      </w:r>
    </w:p>
    <w:bookmarkEnd w:id="9"/>
    <w:bookmarkStart w:id="10" w:name="target-variable-definition"/>
    <w:p>
      <w:pPr>
        <w:pStyle w:val="Heading3"/>
      </w:pPr>
      <w:r>
        <w:t xml:space="preserve">3.2 Target variable definition</w:t>
      </w:r>
    </w:p>
    <w:p>
      <w:pPr>
        <w:pStyle w:val="FirstParagraph"/>
      </w:pPr>
      <w:r>
        <w:t xml:space="preserve">The task is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fixed across all checkpoints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(imbalance is mild); the 68/32 figure on the course slides is illustrative only. Full justification and the Withdrawn-over-time convention (</w:t>
      </w:r>
      <w:r>
        <w:rPr>
          <w:b/>
          <w:bCs/>
        </w:rPr>
        <w:t xml:space="preserve">Option A</w:t>
      </w:r>
      <w:r>
        <w:t xml:space="preserve">: fixed label, fixed population,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in</w:t>
      </w:r>
      <w:r>
        <w:t xml:space="preserve"> </w:t>
      </w:r>
      <w:r>
        <w:rPr>
          <w:rStyle w:val="VerbatimChar"/>
        </w:rPr>
        <w:t xml:space="preserve">docs/01_TargetVariable_Definition</w:t>
      </w:r>
      <w:r>
        <w:t xml:space="preserve"> </w:t>
      </w:r>
      <w:r>
        <w:t xml:space="preserve">(agreement BB-B0-N1).</w:t>
      </w:r>
    </w:p>
    <w:bookmarkEnd w:id="10"/>
    <w:bookmarkStart w:id="11" w:name="data-integration-the-master-table"/>
    <w:p>
      <w:pPr>
        <w:pStyle w:val="Heading3"/>
      </w:pPr>
      <w:r>
        <w:t xml:space="preserve">3.3 Data integration — the master table</w:t>
      </w:r>
    </w:p>
    <w:p>
      <w:pPr>
        <w:pStyle w:val="FirstParagraph"/>
      </w:pPr>
      <w:r>
        <w:t xml:space="preserve">The seven tables are merged into one flat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one row per student–module–presentation.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is the base;</w:t>
      </w:r>
      <w:r>
        <w:t xml:space="preserve"> </w:t>
      </w:r>
      <w:r>
        <w:rPr>
          <w:rStyle w:val="VerbatimChar"/>
        </w:rPr>
        <w:t xml:space="preserve">studentRegistration</w:t>
      </w:r>
      <w:r>
        <w:t xml:space="preserve">, the aggregated engagement table, and the aggregated performance table are joined with</w:t>
      </w:r>
      <w:r>
        <w:t xml:space="preserve"> </w:t>
      </w:r>
      <w:r>
        <w:rPr>
          <w:b/>
          <w:bCs/>
        </w:rPr>
        <w:t xml:space="preserve">left joins</w:t>
      </w:r>
      <w:r>
        <w:t xml:space="preserve">; a before/after</w:t>
      </w:r>
      <w:r>
        <w:t xml:space="preserve"> </w:t>
      </w:r>
      <w:r>
        <w:rPr>
          <w:b/>
          <w:bCs/>
        </w:rPr>
        <w:t xml:space="preserve">join log</w:t>
      </w:r>
      <w:r>
        <w:t xml:space="preserve"> </w:t>
      </w:r>
      <w:r>
        <w:t xml:space="preserve">proves integrity: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(base)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</w:tbl>
    <w:p>
      <w:pPr>
        <w:pStyle w:val="BodyText"/>
      </w:pPr>
      <w:r>
        <w:t xml:space="preserve">No row is duplicated or lost.</w:t>
      </w:r>
      <w:r>
        <w:t xml:space="preserve"> </w:t>
      </w:r>
      <w:r>
        <w:rPr>
          <w:b/>
          <w:bCs/>
        </w:rPr>
        <w:t xml:space="preserve">Engagement features</w:t>
      </w:r>
      <w:r>
        <w:t xml:space="preserve"> </w:t>
      </w:r>
      <w:r>
        <w:t xml:space="preserve">are aggregated from the</w:t>
      </w:r>
      <w:r>
        <w:t xml:space="preserve"> </w:t>
      </w:r>
      <w:r>
        <w:rPr>
          <w:b/>
          <w:bCs/>
        </w:rPr>
        <w:t xml:space="preserve">10,655,280-row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clickstream (joined to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for activity type):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eight</w:t>
      </w:r>
      <w:r>
        <w:t xml:space="preserve"> </w:t>
      </w:r>
      <w:r>
        <w:rPr>
          <w:rStyle w:val="VerbatimChar"/>
        </w:rPr>
        <w:t xml:space="preserve">clicks_&lt;type&gt;</w:t>
      </w:r>
      <w:r>
        <w:t xml:space="preserve"> </w:t>
      </w:r>
      <w:r>
        <w:t xml:space="preserve">counts,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Performance features</w:t>
      </w:r>
      <w:r>
        <w:t xml:space="preserve"> </w:t>
      </w:r>
      <w:r>
        <w:t xml:space="preserve">are aggregated from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with assessment weights/deadlines: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risk flag (a deadline passed without submission). Result:</w:t>
      </w:r>
      <w:r>
        <w:t xml:space="preserve"> </w:t>
      </w:r>
      <w:r>
        <w:rPr>
          <w:b/>
          <w:bCs/>
        </w:rPr>
        <w:t xml:space="preserve">master_raw = 32,593 × 33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data-cleaning"/>
    <w:p>
      <w:pPr>
        <w:pStyle w:val="Heading3"/>
      </w:pPr>
      <w:r>
        <w:t xml:space="preserve">3.4 Data cleaning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0 duplicate composite keys after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Consistency:</w:t>
      </w:r>
      <w:r>
        <w:t xml:space="preserve"> </w:t>
      </w:r>
      <w:r>
        <w:t xml:space="preserve">categorical labels standardised; cardinalities match the data dictionary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Missing values: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assessment gaps → 0 plus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indicator (a</w:t>
      </w:r>
      <w:r>
        <w:t xml:space="preserve"> </w:t>
      </w:r>
      <w:r>
        <w:rPr>
          <w:i/>
          <w:iCs/>
        </w:rPr>
        <w:t xml:space="preserve">signal</w:t>
      </w:r>
      <w:r>
        <w:t xml:space="preserve">, not noise);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train median. The only large gap,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(22,521), is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— most students never withdraw — and is not used as a feature.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right-skewed clickstream features use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others use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no rows are dropped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docs/07_Preprocessing_Sequence</w:t>
      </w:r>
      <w:r>
        <w:t xml:space="preserve">).</w:t>
      </w:r>
    </w:p>
    <w:bookmarkEnd w:id="12"/>
    <w:bookmarkStart w:id="13" w:name="time-aware-feature-extraction"/>
    <w:p>
      <w:pPr>
        <w:pStyle w:val="Heading3"/>
      </w:pPr>
      <w:r>
        <w:t xml:space="preserve">3.5 Time-aware feature extraction</w:t>
      </w:r>
    </w:p>
    <w:p>
      <w:pPr>
        <w:pStyle w:val="FirstParagraph"/>
      </w:pPr>
      <w:r>
        <w:t xml:space="preserve">Course lengths differ, so each progress percentage is converted to a concrete day: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rows).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keeps only events on or before the cutoff, and the master pipeline is re-run per checkpoint to produce</w:t>
      </w:r>
      <w:r>
        <w:t xml:space="preserve"> </w:t>
      </w:r>
      <w:r>
        <w:rPr>
          <w:b/>
          <w:bCs/>
        </w:rPr>
        <w:t xml:space="preserve">six datasets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each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sharing an</w:t>
      </w:r>
      <w:r>
        <w:t xml:space="preserve"> </w:t>
      </w:r>
      <w:r>
        <w:rPr>
          <w:b/>
          <w:bCs/>
        </w:rPr>
        <w:t xml:space="preserve">identical roster</w:t>
      </w:r>
      <w:r>
        <w:t xml:space="preserve"> </w:t>
      </w:r>
      <w:r>
        <w:t xml:space="preserve">(Option A). At-risk rate is constant at 52.8% across checkpoints (labels are fixed); only engagement/performance features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leakage-prevention-and-splitting"/>
    <w:p>
      <w:pPr>
        <w:pStyle w:val="Heading3"/>
      </w:pPr>
      <w:r>
        <w:t xml:space="preserve">3.6 Leakage prevention and splitting</w:t>
      </w:r>
    </w:p>
    <w:p>
      <w:pPr>
        <w:pStyle w:val="FirstParagraph"/>
      </w:pPr>
      <w:r>
        <w:t xml:space="preserve">Two leakage axes are controlled. On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axis, three rules (drop post-cutoff submissions; drop post-cutoff clicks;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documented in</w:t>
      </w:r>
      <w:r>
        <w:t xml:space="preserve"> </w:t>
      </w:r>
      <w:r>
        <w:rPr>
          <w:rStyle w:val="VerbatimChar"/>
        </w:rPr>
        <w:t xml:space="preserve">docs/02_LeakagePrevention_Rules</w:t>
      </w:r>
      <w:r>
        <w:t xml:space="preserve">.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the sequence</w:t>
      </w:r>
      <w:r>
        <w:t xml:space="preserve"> </w:t>
      </w:r>
      <w:r>
        <w:rPr>
          <w:b/>
          <w:bCs/>
        </w:rPr>
        <w:t xml:space="preserve">split → impute → outliers → encode/scale → resample</w:t>
      </w:r>
      <w:r>
        <w:t xml:space="preserve"> </w:t>
      </w:r>
      <w:r>
        <w:t xml:space="preserve">fits every learner on the training fold only (</w:t>
      </w:r>
      <w:r>
        <w:rPr>
          <w:rStyle w:val="VerbatimChar"/>
        </w:rPr>
        <w:t xml:space="preserve">docs/07_Preprocessing_Sequence</w:t>
      </w:r>
      <w:r>
        <w:t xml:space="preserve">). The split is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stratified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fixed 20% test set</w:t>
      </w:r>
      <w:r>
        <w:t xml:space="preserve"> </w:t>
      </w:r>
      <w:r>
        <w:t xml:space="preserve">reused across checkpoints (</w:t>
      </w:r>
      <w:r>
        <w:rPr>
          <w:rStyle w:val="VerbatimChar"/>
        </w:rPr>
        <w:t xml:space="preserve">docs/06_SplitStrategy_Analysis</w:t>
      </w:r>
      <w:r>
        <w:t xml:space="preserve">): train ≈ 26,104 rows, test ≈ 6,489 rows,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, class ratio 0.53/0.52. CV on the training set uses</w:t>
      </w:r>
      <w:r>
        <w:t xml:space="preserve"> </w:t>
      </w:r>
      <w:r>
        <w:rPr>
          <w:b/>
          <w:bCs/>
        </w:rPr>
        <w:t xml:space="preserve">5-fold × 5 seeds</w:t>
      </w:r>
      <w:r>
        <w:t xml:space="preserve">;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on the at-risk class.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 all of this:</w:t>
      </w:r>
      <w:r>
        <w:t xml:space="preserve"> </w:t>
      </w:r>
      <w:r>
        <w:rPr>
          <w:b/>
          <w:bCs/>
        </w:rPr>
        <w:t xml:space="preserve">16/16 tests pass</w:t>
      </w:r>
      <w:r>
        <w:t xml:space="preserve">.</w:t>
      </w:r>
    </w:p>
    <w:bookmarkEnd w:id="14"/>
    <w:bookmarkStart w:id="15" w:name="reproducibility"/>
    <w:p>
      <w:pPr>
        <w:pStyle w:val="Heading3"/>
      </w:pPr>
      <w:r>
        <w:t xml:space="preserve">3.7 Reproducibility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throughout; provenance in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size + date); environment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notebooks run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long steps are checkpointed/resumable; parquet writes are atomic. Full steps in</w:t>
      </w:r>
      <w:r>
        <w:t xml:space="preserve"> </w:t>
      </w:r>
      <w:r>
        <w:rPr>
          <w:rStyle w:val="VerbatimChar"/>
        </w:rPr>
        <w:t xml:space="preserve">docs/10_Reproducibility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47" w:name="chapter-4-exploratory-data-analysis"/>
    <w:p>
      <w:pPr>
        <w:pStyle w:val="Heading2"/>
      </w:pPr>
      <w:r>
        <w:t xml:space="preserve">Chapter 4 — Exploratory Data Analysis</w:t>
      </w:r>
    </w:p>
    <w:p>
      <w:pPr>
        <w:pStyle w:val="FirstParagraph"/>
      </w:pPr>
      <w:r>
        <w:t xml:space="preserve">All figures use the team chart standard (</w:t>
      </w:r>
      <w:r>
        <w:rPr>
          <w:rStyle w:val="VerbatimChar"/>
        </w:rPr>
        <w:t xml:space="preserve">docs/08_Chart_Standards</w:t>
      </w:r>
      <w:r>
        <w:t xml:space="preserve">); analysis code is in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 </w:t>
      </w:r>
      <w:r>
        <w:t xml:space="preserve">(notebook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).</w:t>
      </w:r>
    </w:p>
    <w:bookmarkStart w:id="20" w:name="class-distribution-and-imbalance-stt-27"/>
    <w:p>
      <w:pPr>
        <w:pStyle w:val="Heading3"/>
      </w:pPr>
      <w:r>
        <w:t xml:space="preserve">4.1 Class distribution and imbalance (STT 27)</w:t>
      </w:r>
    </w:p>
    <w:p>
      <w:pPr>
        <w:pStyle w:val="FirstParagraph"/>
      </w:pPr>
      <w:r>
        <w:t xml:space="preserve">The real at-risk rate is</w:t>
      </w:r>
      <w:r>
        <w:t xml:space="preserve"> </w:t>
      </w:r>
      <w:r>
        <w:rPr>
          <w:b/>
          <w:bCs/>
        </w:rPr>
        <w:t xml:space="preserve">52.8%</w:t>
      </w:r>
      <w:r>
        <w:t xml:space="preserve"> </w:t>
      </w:r>
      <w:r>
        <w:t xml:space="preserve">(imbalance ratio 1.12 — mild). This rules out severe-imbalance assumptions but still justifies PR-AUC/recall, because the</w:t>
      </w:r>
      <w:r>
        <w:t xml:space="preserve"> </w:t>
      </w:r>
      <w:r>
        <w:rPr>
          <w:b/>
          <w:bCs/>
        </w:rPr>
        <w:t xml:space="preserve">at-risk positive class is the one we must not miss</w:t>
      </w:r>
      <w:r>
        <w:t xml:space="preserve">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Class distribution: final_result and the binary at_risk label" title="" id="18" name="Picture"/>
            <a:graphic>
              <a:graphicData uri="http://schemas.openxmlformats.org/drawingml/2006/picture">
                <pic:pic>
                  <pic:nvPicPr>
                    <pic:cNvPr descr="figures/dist_class_distributio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distribution: final_result and the binary at_risk label</w:t>
      </w:r>
    </w:p>
    <w:bookmarkEnd w:id="20"/>
    <w:bookmarkStart w:id="27" w:name="descriptive-statistics-stt-28"/>
    <w:p>
      <w:pPr>
        <w:pStyle w:val="Heading3"/>
      </w:pPr>
      <w:r>
        <w:t xml:space="preserve">4.2 Descriptive statistics (STT 28)</w:t>
      </w:r>
    </w:p>
    <w:p>
      <w:pPr>
        <w:pStyle w:val="FirstParagraph"/>
      </w:pPr>
      <w:r>
        <w:t xml:space="preserve">Engagement features are strongly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(skew 10.6),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(3.0),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 </w:t>
      </w:r>
      <w:r>
        <w:t xml:space="preserve">(1.6) — empirically justifying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transform. Full table:</w:t>
      </w:r>
      <w:r>
        <w:t xml:space="preserve"> </w:t>
      </w:r>
      <w:r>
        <w:rPr>
          <w:rStyle w:val="VerbatimChar"/>
        </w:rPr>
        <w:t xml:space="preserve">reports/eda_descriptive_stats.csv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Histograms with KDE for the main numeric features" title="" id="22" name="Picture"/>
            <a:graphic>
              <a:graphicData uri="http://schemas.openxmlformats.org/drawingml/2006/picture">
                <pic:pic>
                  <pic:nvPicPr>
                    <pic:cNvPr descr="figures/dist_numeric_hist_kd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Boxplots for outlier inspection" title="" id="25" name="Picture"/>
            <a:graphic>
              <a:graphicData uri="http://schemas.openxmlformats.org/drawingml/2006/picture">
                <pic:pic>
                  <pic:nvPicPr>
                    <pic:cNvPr descr="figures/dist_numeric_boxplo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bivariate-analysis-vs.-the-target-stt-36"/>
    <w:p>
      <w:pPr>
        <w:pStyle w:val="Heading3"/>
      </w:pPr>
      <w:r>
        <w:t xml:space="preserve">4.3 Bivariate analysis vs. the target (STT 36)</w:t>
      </w:r>
    </w:p>
    <w:p>
      <w:pPr>
        <w:pStyle w:val="FirstParagraph"/>
      </w:pPr>
      <w:r>
        <w:t xml:space="preserve">Standardised mean differences (|Cohen’s d|) between classes rank the most</w:t>
      </w:r>
      <w:r>
        <w:t xml:space="preserve"> </w:t>
      </w:r>
      <w:r>
        <w:rPr>
          <w:b/>
          <w:bCs/>
        </w:rPr>
        <w:t xml:space="preserve">discriminative</w:t>
      </w:r>
      <w:r>
        <w:t xml:space="preserve"> </w:t>
      </w:r>
      <w:r>
        <w:t xml:space="preserve">features: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t xml:space="preserve">Engagement and performance features dominate; demographic features are weak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0.28,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0.21).</w:t>
      </w:r>
    </w:p>
    <w:p>
      <w:pPr>
        <w:pStyle w:val="BodyText"/>
      </w:pPr>
      <w:r>
        <w:drawing>
          <wp:inline>
            <wp:extent cx="5334000" cy="3302885"/>
            <wp:effectExtent b="0" l="0" r="0" t="0"/>
            <wp:docPr descr="Numeric features by at-risk class" title="" id="29" name="Picture"/>
            <a:graphic>
              <a:graphicData uri="http://schemas.openxmlformats.org/drawingml/2006/picture">
                <pic:pic>
                  <pic:nvPicPr>
                    <pic:cNvPr descr="figures/bivar_numeric_by_labe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45272"/>
            <wp:effectExtent b="0" l="0" r="0" t="0"/>
            <wp:docPr descr="At-risk rate across categorical features" title="" id="32" name="Picture"/>
            <a:graphic>
              <a:graphicData uri="http://schemas.openxmlformats.org/drawingml/2006/picture">
                <pic:pic>
                  <pic:nvPicPr>
                    <pic:cNvPr descr="figures/bivar_atrisk_rate_by_categor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correlation-analysis-stt-37"/>
    <w:p>
      <w:pPr>
        <w:pStyle w:val="Heading3"/>
      </w:pPr>
      <w:r>
        <w:t xml:space="preserve">4.4 Correlation analysis (STT 37)</w:t>
      </w:r>
    </w:p>
    <w:p>
      <w:pPr>
        <w:pStyle w:val="FirstParagraph"/>
      </w:pPr>
      <w:r>
        <w:t xml:space="preserve">Strongest target correlations: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(r=0.78),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(0.72),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(0.71),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(0.63). The strongest feature–feature pair is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(0.84).</w:t>
      </w:r>
      <w:r>
        <w:t xml:space="preserve"> </w:t>
      </w:r>
      <w:r>
        <w:rPr>
          <w:b/>
          <w:bCs/>
        </w:rPr>
        <w:t xml:space="preserve">No feature correlates ≥0.95 with the target</w:t>
      </w:r>
      <w:r>
        <w:t xml:space="preserve">, so no leakage feature is flagged.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Pearson correlation matrix" title="" id="36" name="Picture"/>
            <a:graphic>
              <a:graphicData uri="http://schemas.openxmlformats.org/drawingml/2006/picture">
                <pic:pic>
                  <pic:nvPicPr>
                    <pic:cNvPr descr="figures/corr_pears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Spearman correlation matrix" title="" id="39" name="Picture"/>
            <a:graphic>
              <a:graphicData uri="http://schemas.openxmlformats.org/drawingml/2006/picture">
                <pic:pic>
                  <pic:nvPicPr>
                    <pic:cNvPr descr="figures/corr_spearma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time-aware-eda-stt-38"/>
    <w:p>
      <w:pPr>
        <w:pStyle w:val="Heading3"/>
      </w:pPr>
      <w:r>
        <w:t xml:space="preserve">4.5 Time-aware EDA (STT 38)</w:t>
      </w:r>
    </w:p>
    <w:p>
      <w:pPr>
        <w:pStyle w:val="FirstParagraph"/>
      </w:pPr>
      <w:r>
        <w:t xml:space="preserve">The between-class gap in mean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widens monotonically —</w:t>
      </w:r>
      <w:r>
        <w:t xml:space="preserve"> </w:t>
      </w:r>
      <w:r>
        <w:rPr>
          <w:b/>
          <w:bCs/>
        </w:rPr>
        <w:t xml:space="preserve">237 → 397 → 653 → 1,027 → 1,340 → 1,616</w:t>
      </w:r>
      <w:r>
        <w:t xml:space="preserve"> </w:t>
      </w:r>
      <w:r>
        <w:t xml:space="preserve">from t=10%→100% — and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likewise. The mean-score gap</w:t>
      </w:r>
      <w:r>
        <w:t xml:space="preserve"> </w:t>
      </w:r>
      <w:r>
        <w:rPr>
          <w:b/>
          <w:bCs/>
        </w:rPr>
        <w:t xml:space="preserve">saturates near t≈40%</w:t>
      </w:r>
      <w:r>
        <w:t xml:space="preserve"> </w:t>
      </w:r>
      <w:r>
        <w:t xml:space="preserve">(29.5 → 35.8 → 40.8, then flat).</w:t>
      </w:r>
    </w:p>
    <w:p>
      <w:pPr>
        <w:pStyle w:val="CaptionedFigure"/>
      </w:pPr>
      <w:r>
        <w:drawing>
          <wp:inline>
            <wp:extent cx="5334000" cy="1805132"/>
            <wp:effectExtent b="0" l="0" r="0" t="0"/>
            <wp:docPr descr="Time-aware behaviour by class across checkpoints" title="" id="43" name="Picture"/>
            <a:graphic>
              <a:graphicData uri="http://schemas.openxmlformats.org/drawingml/2006/picture">
                <pic:pic>
                  <pic:nvPicPr>
                    <pic:cNvPr descr="figures/time_trends_by_lab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Time-aware behaviour by class across checkpoints</w:t>
      </w:r>
    </w:p>
    <w:bookmarkEnd w:id="45"/>
    <w:bookmarkStart w:id="46" w:name="key-findings-and-hypotheses"/>
    <w:p>
      <w:pPr>
        <w:pStyle w:val="Heading3"/>
      </w:pPr>
      <w:r>
        <w:t xml:space="preserve">4.6 Key findings and hypotheses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early signal exists.</w:t>
      </w:r>
      <w:r>
        <w:t xml:space="preserve"> </w:t>
      </w:r>
      <w:r>
        <w:t xml:space="preserve">Engagement separates the classes from</w:t>
      </w:r>
      <w:r>
        <w:t xml:space="preserve"> </w:t>
      </w:r>
      <w:r>
        <w:rPr>
          <w:b/>
          <w:bCs/>
        </w:rPr>
        <w:t xml:space="preserve">t=10–20%</w:t>
      </w:r>
      <w:r>
        <w:t xml:space="preserve"> </w:t>
      </w:r>
      <w:r>
        <w:t xml:space="preserve">and the score signal is largely established by</w:t>
      </w:r>
      <w:r>
        <w:t xml:space="preserve"> </w:t>
      </w:r>
      <w:r>
        <w:rPr>
          <w:b/>
          <w:bCs/>
        </w:rPr>
        <w:t xml:space="preserve">t≈40%</w:t>
      </w:r>
      <w:r>
        <w:t xml:space="preserve">, supporting reliable early prediction around 40–60% (consistent with Adnan et al. 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behaviour &gt; demographics.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, assessment submission, and accumulated score are the top discriminators while demographics are weak, matching Tomasevic et al. [2]; this guides feature emphasis and sets expectations for which features SHAP/LIME should rank highly (RQ2).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mild imbalance.</w:t>
      </w:r>
      <w:r>
        <w:t xml:space="preserve"> </w:t>
      </w:r>
      <w:r>
        <w:t xml:space="preserve">At 52.8% at-risk, aggressive resampling may yield only modest gains; RQ3 will compare none/class-weight/SMOTE/ADASYN against this baseline using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correlated engagement features.</w:t>
      </w:r>
      <w:r>
        <w:t xml:space="preserve"> </w:t>
      </w:r>
      <w:r>
        <w:t xml:space="preserve">Highly correlated engagement features (e.g.,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–</w:t>
      </w:r>
      <w:r>
        <w:rPr>
          <w:rStyle w:val="VerbatimChar"/>
        </w:rPr>
        <w:t xml:space="preserve">n_days_active</w:t>
      </w:r>
      <w:r>
        <w:t xml:space="preserve">, r=0.84) may make SHAP/LIME distribute importance among them, a factor to watch when measuring explanation stability (RQ2).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2025.</w:t>
      </w:r>
    </w:p>
    <w:p>
      <w:pPr>
        <w:pStyle w:val="Compact"/>
        <w:numPr>
          <w:ilvl w:val="0"/>
          <w:numId w:val="1003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2026-06-14T15:06:42Z</dcterms:created>
  <dcterms:modified xsi:type="dcterms:W3CDTF">2026-06-14T15:06:42Z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