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fbfb85507fb8a9952ee7a1a4e9f1b3da71ec384"/>
    <w:p>
      <w:pPr>
        <w:pStyle w:val="Heading1"/>
      </w:pPr>
      <w:r>
        <w:t xml:space="preserve">Target Variable Definition and Withdrawn-over-Time Convention</w:t>
      </w:r>
    </w:p>
    <w:p>
      <w:pPr>
        <w:pStyle w:val="FirstParagraph"/>
      </w:pPr>
      <w:r>
        <w:rPr>
          <w:i/>
          <w:iCs/>
        </w:rPr>
        <w:t xml:space="preserve">Binary at-risk label for early student-risk prediction on OULAD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items STT 1 (whole team) &amp; STT 26 (Son)</w:t>
      </w:r>
      <w:r>
        <w:t xml:space="preserve"> </w:t>
      </w:r>
      <w:r>
        <w:rPr>
          <w:i/>
          <w:iCs/>
        </w:rPr>
        <w:t xml:space="preserve">Reference: group agreement BB-B0-N1 (Step 0).</w:t>
      </w:r>
    </w:p>
    <w:p>
      <w:r>
        <w:pict>
          <v:rect style="width:0;height:1.5pt" o:hralign="center" o:hrstd="t" o:hr="t"/>
        </w:pict>
      </w:r>
    </w:p>
    <w:bookmarkStart w:id="9" w:name="problem-framing"/>
    <w:p>
      <w:pPr>
        <w:pStyle w:val="Heading2"/>
      </w:pPr>
      <w:r>
        <w:t xml:space="preserve">1. Problem framing</w:t>
      </w:r>
    </w:p>
    <w:p>
      <w:pPr>
        <w:pStyle w:val="FirstParagraph"/>
      </w:pPr>
      <w:r>
        <w:t xml:space="preserve">The project is a</w:t>
      </w:r>
      <w:r>
        <w:t xml:space="preserve"> </w:t>
      </w:r>
      <w:r>
        <w:rPr>
          <w:b/>
          <w:bCs/>
        </w:rPr>
        <w:t xml:space="preserve">binary classification</w:t>
      </w:r>
      <w:r>
        <w:t xml:space="preserve"> </w:t>
      </w:r>
      <w:r>
        <w:t xml:space="preserve">task: at each course-progress checkpoint, predict whether a student is</w:t>
      </w:r>
      <w:r>
        <w:t xml:space="preserve"> </w:t>
      </w:r>
      <w:r>
        <w:rPr>
          <w:b/>
          <w:bCs/>
        </w:rPr>
        <w:t xml:space="preserve">at-risk</w:t>
      </w:r>
      <w:r>
        <w:t xml:space="preserve">. No score regression is performed; only OULAD is used. The label is derived from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fixed across all six checkpoints</w:t>
      </w:r>
      <w:r>
        <w:t xml:space="preserve">.</w:t>
      </w:r>
    </w:p>
    <w:bookmarkEnd w:id="9"/>
    <w:bookmarkStart w:id="10" w:name="mapping-final_result-to-the-binary-label"/>
    <w:p>
      <w:pPr>
        <w:pStyle w:val="Heading2"/>
      </w:pPr>
      <w:r>
        <w:t xml:space="preserve">2. Mapping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to the binary label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Label (code)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Passed with distinction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Failed the module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Withdrew from the module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df["at_risk"] = df["final_result"].isin(["Fail", "Withdrawn"]).astype(int)</w:t>
      </w:r>
      <w:r>
        <w:br/>
      </w:r>
      <w:r>
        <w:rPr>
          <w:rStyle w:val="VerbatimChar"/>
        </w:rPr>
        <w:t xml:space="preserve"># 1 = at-risk (positive class to detect); 0 = not-at-risk</w:t>
      </w:r>
    </w:p>
    <w:p>
      <w:pPr>
        <w:pStyle w:val="FirstParagraph"/>
      </w:pPr>
      <w:r>
        <w:rPr>
          <w:b/>
          <w:bCs/>
        </w:rPr>
        <w:t xml:space="preserve">Merging Distinction into Pass.</w:t>
      </w:r>
      <w:r>
        <w:t xml:space="preserve"> </w:t>
      </w:r>
      <w:r>
        <w:t xml:space="preserve">The task is binary; Distinction is a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outcome than Pass and is not a target for intervention. Merging keeps the class definition clear, avoids creating a tiny extra class, and stays aligned with the goal of</w:t>
      </w:r>
      <w:r>
        <w:t xml:space="preserve"> </w:t>
      </w:r>
      <w:r>
        <w:rPr>
          <w:i/>
          <w:iCs/>
        </w:rPr>
        <w:t xml:space="preserve">detecting risk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ranking achievement</w:t>
      </w:r>
      <w:r>
        <w:t xml:space="preserve">.</w:t>
      </w:r>
    </w:p>
    <w:bookmarkEnd w:id="10"/>
    <w:bookmarkStart w:id="11" w:name="Xd2ece6d6ad20aa30250afc976c350245c579270"/>
    <w:p>
      <w:pPr>
        <w:pStyle w:val="Heading2"/>
      </w:pPr>
      <w:r>
        <w:t xml:space="preserve">3. Observed class distribution (this dataset, not the illustrative slide)</w:t>
      </w:r>
    </w:p>
    <w:p>
      <w:pPr>
        <w:pStyle w:val="FirstParagraph"/>
      </w:pPr>
      <w:r>
        <w:t xml:space="preserve">Measured on the 32,593 student–module–presentation records of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not-at-risk (0)</w:t>
            </w:r>
          </w:p>
        </w:tc>
        <w:tc>
          <w:tcPr/>
          <w:p>
            <w:pPr>
              <w:pStyle w:val="Compact"/>
            </w:pPr>
            <w:r>
              <w:t xml:space="preserve">Pass (12,361) + Distinction (3,024)</w:t>
            </w:r>
          </w:p>
        </w:tc>
        <w:tc>
          <w:tcPr/>
          <w:p>
            <w:pPr>
              <w:pStyle w:val="Compact"/>
            </w:pPr>
            <w:r>
              <w:t xml:space="preserve">15,385</w:t>
            </w:r>
          </w:p>
        </w:tc>
        <w:tc>
          <w:tcPr/>
          <w:p>
            <w:pPr>
              <w:pStyle w:val="Compact"/>
            </w:pPr>
            <w:r>
              <w:t xml:space="preserve">47.2%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(1)</w:t>
            </w:r>
          </w:p>
        </w:tc>
        <w:tc>
          <w:tcPr/>
          <w:p>
            <w:pPr>
              <w:pStyle w:val="Compact"/>
            </w:pPr>
            <w:r>
              <w:t xml:space="preserve">Fail (7,052) + Withdrawn (10,156)</w:t>
            </w:r>
          </w:p>
        </w:tc>
        <w:tc>
          <w:tcPr/>
          <w:p>
            <w:pPr>
              <w:pStyle w:val="Compact"/>
            </w:pPr>
            <w:r>
              <w:t xml:space="preserve">17,208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52.8%</w:t>
            </w:r>
          </w:p>
        </w:tc>
      </w:tr>
    </w:tbl>
    <w:p>
      <w:pPr>
        <w:pStyle w:val="BodyText"/>
      </w:pPr>
      <w:r>
        <w:t xml:space="preserve">The at-risk class is therefore a</w:t>
      </w:r>
      <w:r>
        <w:t xml:space="preserve"> </w:t>
      </w:r>
      <w:r>
        <w:rPr>
          <w:b/>
          <w:bCs/>
        </w:rPr>
        <w:t xml:space="preserve">slight majority</w:t>
      </w:r>
      <w:r>
        <w:t xml:space="preserve"> </w:t>
      </w:r>
      <w:r>
        <w:t xml:space="preserve">(≈52.8%); imbalance is</w:t>
      </w:r>
      <w:r>
        <w:t xml:space="preserve"> </w:t>
      </w:r>
      <w:r>
        <w:rPr>
          <w:b/>
          <w:bCs/>
        </w:rPr>
        <w:t xml:space="preserve">mild</w:t>
      </w:r>
      <w:r>
        <w:t xml:space="preserve">. The</w:t>
      </w:r>
      <w:r>
        <w:t xml:space="preserve"> </w:t>
      </w:r>
      <w:r>
        <w:t xml:space="preserve">“68/32”</w:t>
      </w:r>
      <w:r>
        <w:t xml:space="preserve"> </w:t>
      </w:r>
      <w:r>
        <w:t xml:space="preserve">figure sometimes shown on course slides is</w:t>
      </w:r>
      <w:r>
        <w:t xml:space="preserve"> </w:t>
      </w:r>
      <w:r>
        <w:rPr>
          <w:b/>
          <w:bCs/>
        </w:rPr>
        <w:t xml:space="preserve">illustrative only</w:t>
      </w:r>
      <w:r>
        <w:t xml:space="preserve"> </w:t>
      </w:r>
      <w:r>
        <w:t xml:space="preserve">and must not be quoted as the dataset statistic. Even with mild imbalance, evaluation uses</w:t>
      </w:r>
      <w:r>
        <w:t xml:space="preserve"> </w:t>
      </w:r>
      <w:r>
        <w:rPr>
          <w:b/>
          <w:bCs/>
        </w:rPr>
        <w:t xml:space="preserve">PR-AUC and recall on the at-risk class</w:t>
      </w:r>
      <w:r>
        <w:t xml:space="preserve">, because missing an at-risk student is the costly error (see STT 25).</w:t>
      </w:r>
    </w:p>
    <w:bookmarkEnd w:id="11"/>
    <w:bookmarkStart w:id="12" w:name="Xd6675ba969afcdcc6b3db0b14480850d4d87efe"/>
    <w:p>
      <w:pPr>
        <w:pStyle w:val="Heading2"/>
      </w:pPr>
      <w:r>
        <w:t xml:space="preserve">4. Withdrawn-over-time convention — Option A (chosen)</w:t>
      </w:r>
    </w:p>
    <w:p>
      <w:pPr>
        <w:pStyle w:val="FirstParagraph"/>
      </w:pPr>
      <w:r>
        <w:t xml:space="preserve">At a checkpoint</w:t>
      </w:r>
      <w:r>
        <w:t xml:space="preserve"> </w:t>
      </w:r>
      <w:r>
        <w:rPr>
          <w:i/>
          <w:iCs/>
        </w:rPr>
        <w:t xml:space="preserve">t%</w:t>
      </w:r>
      <w:r>
        <w:t xml:space="preserve">, a Withdrawn student may have left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checkpoint day. The group adopted</w:t>
      </w:r>
      <w:r>
        <w:t xml:space="preserve"> </w:t>
      </w:r>
      <w:r>
        <w:rPr>
          <w:b/>
          <w:bCs/>
        </w:rPr>
        <w:t xml:space="preserve">Option A — fixed label, fixed population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Each student’s label 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at every checkpoint (the label does not change with</w:t>
      </w:r>
      <w:r>
        <w:t xml:space="preserve"> </w:t>
      </w:r>
      <w:r>
        <w:rPr>
          <w:i/>
          <w:iCs/>
        </w:rPr>
        <w:t xml:space="preserve">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student set is identical</w:t>
      </w:r>
      <w:r>
        <w:t xml:space="preserve"> </w:t>
      </w:r>
      <w:r>
        <w:t xml:space="preserve">across all six checkpoints and the test set, satisfying the fixed-test-set requirement (STT 8).</w:t>
      </w:r>
    </w:p>
    <w:p>
      <w:pPr>
        <w:pStyle w:val="Compact"/>
        <w:numPr>
          <w:ilvl w:val="0"/>
          <w:numId w:val="1001"/>
        </w:numPr>
      </w:pPr>
      <w:r>
        <w:t xml:space="preserve">A Withdrawn student who left before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dataset and</w:t>
      </w:r>
      <w:r>
        <w:t xml:space="preserve"> </w:t>
      </w:r>
      <w:r>
        <w:rPr>
          <w:b/>
          <w:bCs/>
        </w:rPr>
        <w:t xml:space="preserve">still labelled at-risk</w:t>
      </w:r>
      <w:r>
        <w:t xml:space="preserve">. Their features naturally reflect only activity up to the withdrawal day, so engagement is very low — and this</w:t>
      </w:r>
      <w:r>
        <w:t xml:space="preserve"> </w:t>
      </w:r>
      <w:r>
        <w:rPr>
          <w:b/>
          <w:bCs/>
        </w:rPr>
        <w:t xml:space="preserve">decline in activity is the early-warning signal</w:t>
      </w:r>
      <w:r>
        <w:t xml:space="preserve">, not a data error.</w:t>
      </w:r>
    </w:p>
    <w:p>
      <w:pPr>
        <w:pStyle w:val="Compact"/>
        <w:numPr>
          <w:ilvl w:val="0"/>
          <w:numId w:val="1001"/>
        </w:numPr>
      </w:pPr>
      <w:r>
        <w:t xml:space="preserve">The time-aware cut function (STT 11) automatically removes any event dated after the checkpoint, so</w:t>
      </w:r>
      <w:r>
        <w:t xml:space="preserve"> </w:t>
      </w:r>
      <w:r>
        <w:rPr>
          <w:b/>
          <w:bCs/>
        </w:rPr>
        <w:t xml:space="preserve">no temporal leakage</w:t>
      </w:r>
      <w:r>
        <w:t xml:space="preserve"> </w:t>
      </w:r>
      <w:r>
        <w:t xml:space="preserve">is introduced.</w:t>
      </w:r>
    </w:p>
    <w:p>
      <w:pPr>
        <w:pStyle w:val="FirstParagraph"/>
      </w:pPr>
      <w:r>
        <w:rPr>
          <w:b/>
          <w:bCs/>
        </w:rPr>
        <w:t xml:space="preserve">Acknowledged limitation.</w:t>
      </w:r>
      <w:r>
        <w:t xml:space="preserve"> </w:t>
      </w:r>
      <w:r>
        <w:t xml:space="preserve">At late checkpoints, early-withdrawing students have almost no activity and are easy to detect, which can make recall and PR-AUC optimistic. The report states this limitation and, if time permits, validates it with a sensitivity analysis under the alternative</w:t>
      </w:r>
      <w:r>
        <w:t xml:space="preserve"> </w:t>
      </w:r>
      <w:r>
        <w:rPr>
          <w:i/>
          <w:iCs/>
        </w:rPr>
        <w:t xml:space="preserve">Option B (per-checkpoint censoring)</w:t>
      </w:r>
      <w:r>
        <w:t xml:space="preserve">.</w:t>
      </w:r>
    </w:p>
    <w:bookmarkEnd w:id="12"/>
    <w:bookmarkStart w:id="13" w:name="consequences-for-downstream-work"/>
    <w:p>
      <w:pPr>
        <w:pStyle w:val="Heading2"/>
      </w:pPr>
      <w:r>
        <w:t xml:space="preserve">5. Consequences for downstream work</w:t>
      </w:r>
    </w:p>
    <w:p>
      <w:pPr>
        <w:pStyle w:val="FirstParagraph"/>
      </w:pPr>
      <w:r>
        <w:t xml:space="preserve">Every work item that depends on</w:t>
      </w:r>
      <w:r>
        <w:t xml:space="preserve"> </w:t>
      </w:r>
      <w:r>
        <w:t xml:space="preserve">“Step 0”</w:t>
      </w:r>
      <w:r>
        <w:t xml:space="preserve"> </w:t>
      </w:r>
      <w:r>
        <w:t xml:space="preserve">inherits this definition: leakage rules (STT 12), schema and checkpoint map (STT 9, 10), split design (STT 21), and the documentation of source/ethics (STT 30). The target column name is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is retained only as the raw source of the label.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M. Adnan et al.,</w:t>
      </w:r>
      <w:r>
        <w:t xml:space="preserve"> </w:t>
      </w:r>
      <w:r>
        <w:t xml:space="preserve">“Predicting at-Risk Students at Different Percentages of Course Length for Early Intervention,”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2"/>
        </w:numPr>
      </w:pPr>
      <w:r>
        <w:t xml:space="preserve">N. Tomasevic, N. Gvozdenovic, S. Vranes,</w:t>
      </w:r>
      <w:r>
        <w:t xml:space="preserve"> </w:t>
      </w:r>
      <w:r>
        <w:t xml:space="preserve">“An overview and comparison of supervised data mining techniques for student exam performance 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p>
      <w:pPr>
        <w:pStyle w:val="Compact"/>
        <w:numPr>
          <w:ilvl w:val="0"/>
          <w:numId w:val="1002"/>
        </w:numPr>
      </w:pPr>
      <w:r>
        <w:t xml:space="preserve">J. Kuzilek, M. Hlosta, Z. Zdrahal,</w:t>
      </w:r>
      <w:r>
        <w:t xml:space="preserve"> </w:t>
      </w:r>
      <w:r>
        <w:t xml:space="preserve">“Open University Learning Analytics 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2026-06-14T17:25:24Z</dcterms:created>
  <dcterms:modified xsi:type="dcterms:W3CDTF">2026-06-14T17:25:24Z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