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b5c7ea401ad64a760b84fc22aece6f9054ab9c7"/>
    <w:p>
      <w:pPr>
        <w:pStyle w:val="Heading2"/>
      </w:pPr>
      <w:r>
        <w:t xml:space="preserve">6. Phân chia đã vật chất hoá và dữ liệu nằm ở đâu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và lưu lại bởi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 (5.756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(theo từng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qua, tái tạo được</w:t>
            </w:r>
          </w:p>
        </w:tc>
      </w:tr>
    </w:tbl>
    <w:p>
      <w:pPr>
        <w:pStyle w:val="BodyText"/>
      </w:pPr>
      <w:r>
        <w:t xml:space="preserve">Báo cáo phân chia xác nhận thiết kế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cả sáu mốc</w:t>
      </w:r>
      <w:r>
        <w:t xml:space="preserve">: train</w:t>
      </w:r>
      <w:r>
        <w:t xml:space="preserve"> </w:t>
      </w:r>
      <w:r>
        <w:rPr>
          <w:b/>
          <w:bCs/>
        </w:rPr>
        <w:t xml:space="preserve">26.104</w:t>
      </w:r>
      <w:r>
        <w:t xml:space="preserve"> </w:t>
      </w:r>
      <w:r>
        <w:t xml:space="preserve">dòng · test</w:t>
      </w:r>
      <w:r>
        <w:t xml:space="preserve"> </w:t>
      </w:r>
      <w:r>
        <w:rPr>
          <w:b/>
          <w:bCs/>
        </w:rPr>
        <w:t xml:space="preserve">6.489</w:t>
      </w:r>
      <w:r>
        <w:t xml:space="preserve"> </w:t>
      </w:r>
      <w:r>
        <w:t xml:space="preserve">dòng (5.756 SV) · at-risk</w:t>
      </w:r>
      <w:r>
        <w:t xml:space="preserve"> </w:t>
      </w:r>
      <w:r>
        <w:rPr>
          <w:b/>
          <w:bCs/>
        </w:rPr>
        <w:t xml:space="preserve">0,530 / 0,520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trùng</w:t>
      </w:r>
      <w:r>
        <w:t xml:space="preserve"> </w:t>
      </w:r>
      <w:r>
        <w:t xml:space="preserve">— y hệt ở mọi mốc. Giai đoạn mô hình nạp phân chia của một mốc bằng một lệnh: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tại mốc 40%</w:t>
      </w:r>
    </w:p>
    <w:bookmarkEnd w:id="14"/>
    <w:bookmarkStart w:id="15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2026-06-14T17:25:31Z</dcterms:created>
  <dcterms:modified xsi:type="dcterms:W3CDTF">2026-06-14T17:25:31Z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