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5.png" ContentType="image/png"/>
  <Override PartName="/word/media/rId38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17.png" ContentType="image/png"/>
  <Override PartName="/word/media/rId21.png" ContentType="image/png"/>
  <Override PartName="/word/media/rId59.png" ContentType="image/png"/>
  <Override PartName="/word/media/rId56.png" ContentType="image/png"/>
  <Override PartName="/word/media/rId28.png" ContentType="image/png"/>
  <Override PartName="/word/media/rId31.png" ContentType="image/png"/>
  <Override PartName="/word/media/rId25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X8a471c74e89b0d88307cc9a6d4bf59726ca54c4"/>
    <w:p>
      <w:pPr>
        <w:pStyle w:val="Heading1"/>
      </w:pPr>
      <w:r>
        <w:t xml:space="preserve">Report 2 — Data Tasks: Collection, Cleaning, and Exploratory Data Analysis</w:t>
      </w:r>
    </w:p>
    <w:p>
      <w:pPr>
        <w:pStyle w:val="FirstParagraph"/>
      </w:pPr>
      <w:r>
        <w:rPr>
          <w:b/>
          <w:bCs/>
        </w:rPr>
        <w:t xml:space="preserve">DSP391m – Data Science Capstone Project · Group 1 · FPT University</w:t>
      </w:r>
      <w:r>
        <w:t xml:space="preserve"> </w:t>
      </w:r>
      <w:r>
        <w:rPr>
          <w:i/>
          <w:iCs/>
        </w:rPr>
        <w:t xml:space="preserve">Project: Time-Aware Explainable Machine Learning for Early At-Risk Student Prediction on OULAD · Supervisor: Nguyễn Thị Hoàng Yến</w:t>
      </w:r>
      <w:r>
        <w:t xml:space="preserve"> </w:t>
      </w:r>
      <w:r>
        <w:rPr>
          <w:i/>
          <w:iCs/>
        </w:rPr>
        <w:t xml:space="preserve">Scope: CLO3–CLO4 · Chapter 3 (Collection &amp; Cleaning) and Chapter 4 (EDA). This draft synthesises the team deliverables; detailed standalone documents are referenced inline.</w:t>
      </w:r>
    </w:p>
    <w:p>
      <w:r>
        <w:pict>
          <v:rect style="width:0;height:1.5pt" o:hralign="center" o:hrstd="t" o:hr="t"/>
        </w:pict>
      </w:r>
    </w:p>
    <w:bookmarkStart w:id="16" w:name="chapter-3-data-collection-and-cleaning"/>
    <w:p>
      <w:pPr>
        <w:pStyle w:val="Heading2"/>
      </w:pPr>
      <w:r>
        <w:t xml:space="preserve">Chapter 3 — Data Collection and Cleaning</w:t>
      </w:r>
    </w:p>
    <w:bookmarkStart w:id="9" w:name="data-source-licence-and-ethics"/>
    <w:p>
      <w:pPr>
        <w:pStyle w:val="Heading3"/>
      </w:pPr>
      <w:r>
        <w:t xml:space="preserve">3.1 Data source, licence, and ethics</w:t>
      </w:r>
    </w:p>
    <w:p>
      <w:pPr>
        <w:pStyle w:val="FirstParagraph"/>
      </w:pPr>
      <w:r>
        <w:t xml:space="preserve">This project uses the</w:t>
      </w:r>
      <w:r>
        <w:t xml:space="preserve"> </w:t>
      </w:r>
      <w:r>
        <w:rPr>
          <w:b/>
          <w:bCs/>
        </w:rPr>
        <w:t xml:space="preserve">Open University Learning Analytics Dataset (OULAD)</w:t>
      </w:r>
      <w:r>
        <w:t xml:space="preserve"> </w:t>
      </w:r>
      <w:r>
        <w:t xml:space="preserve">(Kuzilek et al., 2017 [3]):</w:t>
      </w:r>
      <w:r>
        <w:t xml:space="preserve"> </w:t>
      </w:r>
      <w:r>
        <w:rPr>
          <w:b/>
          <w:bCs/>
        </w:rPr>
        <w:t xml:space="preserve">32,593</w:t>
      </w:r>
      <w:r>
        <w:t xml:space="preserve"> </w:t>
      </w:r>
      <w:r>
        <w:t xml:space="preserve">student–module–presentation records over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module-presentations and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relational tables, covering three feature groups (demographic, engagement/VLE, assessment performance) and the outcome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. OULAD is</w:t>
      </w:r>
      <w:r>
        <w:t xml:space="preserve"> </w:t>
      </w:r>
      <w:r>
        <w:rPr>
          <w:b/>
          <w:bCs/>
        </w:rPr>
        <w:t xml:space="preserve">anonymised at source</w:t>
      </w:r>
      <w:r>
        <w:t xml:space="preserve"> </w:t>
      </w:r>
      <w:r>
        <w:t xml:space="preserve">and distributed under</w:t>
      </w:r>
      <w:r>
        <w:t xml:space="preserve"> </w:t>
      </w:r>
      <w:r>
        <w:rPr>
          <w:b/>
          <w:bCs/>
        </w:rPr>
        <w:t xml:space="preserve">CC-BY 4.0</w:t>
      </w:r>
      <w:r>
        <w:t xml:space="preserve">, so the ethical requirement is met by correct citation; no sensitive personal data is processed. Data-collection methods and the rationale for a public secondary dataset are analysed in</w:t>
      </w:r>
      <w:r>
        <w:t xml:space="preserve"> </w:t>
      </w:r>
      <w:r>
        <w:rPr>
          <w:rStyle w:val="VerbatimChar"/>
        </w:rPr>
        <w:t xml:space="preserve">docs/02_collection/Data_Collection_Methods</w:t>
      </w:r>
      <w:r>
        <w:t xml:space="preserve">; the source/licence/ethics statement is in</w:t>
      </w:r>
      <w:r>
        <w:t xml:space="preserve"> </w:t>
      </w:r>
      <w:r>
        <w:rPr>
          <w:rStyle w:val="VerbatimChar"/>
        </w:rPr>
        <w:t xml:space="preserve">docs/02_collection/Data_Source_License_Ethics</w:t>
      </w:r>
      <w:r>
        <w:t xml:space="preserve">.</w:t>
      </w:r>
    </w:p>
    <w:bookmarkEnd w:id="9"/>
    <w:bookmarkStart w:id="10" w:name="target-variable-definition"/>
    <w:p>
      <w:pPr>
        <w:pStyle w:val="Heading3"/>
      </w:pPr>
      <w:r>
        <w:t xml:space="preserve">3.2 Target variable definition</w:t>
      </w:r>
    </w:p>
    <w:p>
      <w:pPr>
        <w:pStyle w:val="FirstParagraph"/>
      </w:pPr>
      <w:r>
        <w:t xml:space="preserve">The task is</w:t>
      </w:r>
      <w:r>
        <w:t xml:space="preserve"> </w:t>
      </w:r>
      <w:r>
        <w:rPr>
          <w:b/>
          <w:bCs/>
        </w:rPr>
        <w:t xml:space="preserve">binary classification</w:t>
      </w:r>
      <w:r>
        <w:t xml:space="preserve">. The label is derived from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fixed across all checkpoints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not-at-risk (0)</w:t>
            </w:r>
          </w:p>
        </w:tc>
        <w:tc>
          <w:tcPr/>
          <w:p>
            <w:pPr>
              <w:pStyle w:val="Compact"/>
            </w:pPr>
            <w:r>
              <w:t xml:space="preserve">Pass (12,361) + Distinction (3,024)</w:t>
            </w:r>
          </w:p>
        </w:tc>
        <w:tc>
          <w:tcPr/>
          <w:p>
            <w:pPr>
              <w:pStyle w:val="Compact"/>
            </w:pPr>
            <w:r>
              <w:t xml:space="preserve">15,385</w:t>
            </w:r>
          </w:p>
        </w:tc>
        <w:tc>
          <w:tcPr/>
          <w:p>
            <w:pPr>
              <w:pStyle w:val="Compact"/>
            </w:pPr>
            <w:r>
              <w:t xml:space="preserve">47.2%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(1)</w:t>
            </w:r>
          </w:p>
        </w:tc>
        <w:tc>
          <w:tcPr/>
          <w:p>
            <w:pPr>
              <w:pStyle w:val="Compact"/>
            </w:pPr>
            <w:r>
              <w:t xml:space="preserve">Fail (7,052) + Withdrawn (10,156)</w:t>
            </w:r>
          </w:p>
        </w:tc>
        <w:tc>
          <w:tcPr/>
          <w:p>
            <w:pPr>
              <w:pStyle w:val="Compact"/>
            </w:pPr>
            <w:r>
              <w:t xml:space="preserve">17,208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52.8%</w:t>
            </w:r>
          </w:p>
        </w:tc>
      </w:tr>
    </w:tbl>
    <w:p>
      <w:pPr>
        <w:pStyle w:val="BodyText"/>
      </w:pPr>
      <w:r>
        <w:t xml:space="preserve">The at-risk class is a</w:t>
      </w:r>
      <w:r>
        <w:t xml:space="preserve"> </w:t>
      </w:r>
      <w:r>
        <w:rPr>
          <w:b/>
          <w:bCs/>
        </w:rPr>
        <w:t xml:space="preserve">slight majority</w:t>
      </w:r>
      <w:r>
        <w:t xml:space="preserve"> </w:t>
      </w:r>
      <w:r>
        <w:t xml:space="preserve">(imbalance is mild); the 68/32 figure on the course slides is illustrative only. Full justification and the Withdrawn-over-time convention (</w:t>
      </w:r>
      <w:r>
        <w:rPr>
          <w:b/>
          <w:bCs/>
        </w:rPr>
        <w:t xml:space="preserve">Option A</w:t>
      </w:r>
      <w:r>
        <w:t xml:space="preserve">: fixed label, fixed population, keep Withdrawn-before-</w:t>
      </w:r>
      <w:r>
        <w:rPr>
          <w:i/>
          <w:iCs/>
        </w:rPr>
        <w:t xml:space="preserve">t</w:t>
      </w:r>
      <w:r>
        <w:t xml:space="preserve"> </w:t>
      </w:r>
      <w:r>
        <w:t xml:space="preserve">as at-risk) are in</w:t>
      </w:r>
      <w:r>
        <w:t xml:space="preserve"> </w:t>
      </w:r>
      <w:r>
        <w:rPr>
          <w:rStyle w:val="VerbatimChar"/>
        </w:rPr>
        <w:t xml:space="preserve">docs/01_data_specification/Target_Variable_Definition</w:t>
      </w:r>
      <w:r>
        <w:t xml:space="preserve"> </w:t>
      </w:r>
      <w:r>
        <w:t xml:space="preserve">(agreement BB-B0-N1).</w:t>
      </w:r>
    </w:p>
    <w:bookmarkEnd w:id="10"/>
    <w:bookmarkStart w:id="11" w:name="data-integration-the-master-table"/>
    <w:p>
      <w:pPr>
        <w:pStyle w:val="Heading3"/>
      </w:pPr>
      <w:r>
        <w:t xml:space="preserve">3.3 Data integration — the master table</w:t>
      </w:r>
    </w:p>
    <w:p>
      <w:pPr>
        <w:pStyle w:val="FirstParagraph"/>
      </w:pPr>
      <w:r>
        <w:t xml:space="preserve">The seven tables are merged into one flat</w:t>
      </w:r>
      <w:r>
        <w:t xml:space="preserve"> </w:t>
      </w:r>
      <w:r>
        <w:rPr>
          <w:b/>
          <w:bCs/>
        </w:rPr>
        <w:t xml:space="preserve">master table</w:t>
      </w:r>
      <w:r>
        <w:t xml:space="preserve">, one row per student–module–presentation.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 </w:t>
      </w:r>
      <w:r>
        <w:t xml:space="preserve">is the base;</w:t>
      </w:r>
      <w:r>
        <w:t xml:space="preserve"> </w:t>
      </w:r>
      <w:r>
        <w:rPr>
          <w:rStyle w:val="VerbatimChar"/>
        </w:rPr>
        <w:t xml:space="preserve">studentRegistration</w:t>
      </w:r>
      <w:r>
        <w:t xml:space="preserve">, the aggregated engagement table, and the aggregated performance table are joined with</w:t>
      </w:r>
      <w:r>
        <w:t xml:space="preserve"> </w:t>
      </w:r>
      <w:r>
        <w:rPr>
          <w:b/>
          <w:bCs/>
        </w:rPr>
        <w:t xml:space="preserve">left joins</w:t>
      </w:r>
      <w:r>
        <w:t xml:space="preserve">; a before/after</w:t>
      </w:r>
      <w:r>
        <w:t xml:space="preserve"> </w:t>
      </w:r>
      <w:r>
        <w:rPr>
          <w:b/>
          <w:bCs/>
        </w:rPr>
        <w:t xml:space="preserve">join log</w:t>
      </w:r>
      <w:r>
        <w:t xml:space="preserve"> </w:t>
      </w:r>
      <w:r>
        <w:t xml:space="preserve">proves integrity: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rows_before</w:t>
            </w:r>
          </w:p>
        </w:tc>
        <w:tc>
          <w:tcPr/>
          <w:p>
            <w:pPr>
              <w:pStyle w:val="Compact"/>
            </w:pPr>
            <w:r>
              <w:t xml:space="preserve">rows_after</w:t>
            </w:r>
          </w:p>
        </w:tc>
        <w:tc>
          <w:tcPr/>
          <w:p>
            <w:pPr>
              <w:pStyle w:val="Compact"/>
            </w:pPr>
            <w:r>
              <w:t xml:space="preserve">n_students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studentInfo (base)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28,785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registration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28,785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engagement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28,785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performance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32,593</w:t>
            </w:r>
          </w:p>
        </w:tc>
        <w:tc>
          <w:tcPr/>
          <w:p>
            <w:pPr>
              <w:pStyle w:val="Compact"/>
            </w:pPr>
            <w:r>
              <w:t xml:space="preserve">28,785</w:t>
            </w:r>
          </w:p>
        </w:tc>
      </w:tr>
    </w:tbl>
    <w:p>
      <w:pPr>
        <w:pStyle w:val="BodyText"/>
      </w:pPr>
      <w:r>
        <w:t xml:space="preserve">No row is duplicated or lost.</w:t>
      </w:r>
      <w:r>
        <w:t xml:space="preserve"> </w:t>
      </w:r>
      <w:r>
        <w:rPr>
          <w:b/>
          <w:bCs/>
        </w:rPr>
        <w:t xml:space="preserve">Engagement features</w:t>
      </w:r>
      <w:r>
        <w:t xml:space="preserve"> </w:t>
      </w:r>
      <w:r>
        <w:t xml:space="preserve">are aggregated from the</w:t>
      </w:r>
      <w:r>
        <w:t xml:space="preserve"> </w:t>
      </w:r>
      <w:r>
        <w:rPr>
          <w:b/>
          <w:bCs/>
        </w:rPr>
        <w:t xml:space="preserve">10,655,280-row</w:t>
      </w:r>
      <w:r>
        <w:t xml:space="preserve"> </w:t>
      </w:r>
      <w:r>
        <w:rPr>
          <w:rStyle w:val="VerbatimChar"/>
        </w:rPr>
        <w:t xml:space="preserve">studentVle</w:t>
      </w:r>
      <w:r>
        <w:t xml:space="preserve"> </w:t>
      </w:r>
      <w:r>
        <w:t xml:space="preserve">clickstream (joined to</w:t>
      </w:r>
      <w:r>
        <w:t xml:space="preserve"> </w:t>
      </w:r>
      <w:r>
        <w:rPr>
          <w:rStyle w:val="VerbatimChar"/>
        </w:rPr>
        <w:t xml:space="preserve">vle</w:t>
      </w:r>
      <w:r>
        <w:t xml:space="preserve"> </w:t>
      </w:r>
      <w:r>
        <w:t xml:space="preserve">for activity type):</w:t>
      </w:r>
      <w:r>
        <w:t xml:space="preserve"> </w:t>
      </w:r>
      <w:r>
        <w:rPr>
          <w:rStyle w:val="VerbatimChar"/>
        </w:rPr>
        <w:t xml:space="preserve">total_clicks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, eight</w:t>
      </w:r>
      <w:r>
        <w:t xml:space="preserve"> </w:t>
      </w:r>
      <w:r>
        <w:rPr>
          <w:rStyle w:val="VerbatimChar"/>
        </w:rPr>
        <w:t xml:space="preserve">clicks_&lt;type&gt;</w:t>
      </w:r>
      <w:r>
        <w:t xml:space="preserve"> </w:t>
      </w:r>
      <w:r>
        <w:t xml:space="preserve">counts,</w:t>
      </w:r>
      <w:r>
        <w:t xml:space="preserve"> </w:t>
      </w:r>
      <w:r>
        <w:rPr>
          <w:rStyle w:val="VerbatimChar"/>
        </w:rPr>
        <w:t xml:space="preserve">max_clicks_single_day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mean_clicks_per_active_day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.</w:t>
      </w:r>
      <w:r>
        <w:t xml:space="preserve"> </w:t>
      </w:r>
      <w:r>
        <w:rPr>
          <w:b/>
          <w:bCs/>
        </w:rPr>
        <w:t xml:space="preserve">Performance features</w:t>
      </w:r>
      <w:r>
        <w:t xml:space="preserve"> </w:t>
      </w:r>
      <w:r>
        <w:t xml:space="preserve">are aggregated from</w:t>
      </w:r>
      <w:r>
        <w:t xml:space="preserve"> </w:t>
      </w:r>
      <w:r>
        <w:rPr>
          <w:rStyle w:val="VerbatimChar"/>
        </w:rPr>
        <w:t xml:space="preserve">studentAssessment</w:t>
      </w:r>
      <w:r>
        <w:t xml:space="preserve"> </w:t>
      </w:r>
      <w:r>
        <w:t xml:space="preserve">with assessment weights/deadlines: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n_assessments_submitted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 </w:t>
      </w:r>
      <w:r>
        <w:t xml:space="preserve">risk flag (a deadline passed without submission). Result:</w:t>
      </w:r>
      <w:r>
        <w:t xml:space="preserve"> </w:t>
      </w:r>
      <w:r>
        <w:rPr>
          <w:b/>
          <w:bCs/>
        </w:rPr>
        <w:t xml:space="preserve">master_raw = 32,593 × 33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src/data/build_master_table.py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01</w:t>
      </w:r>
      <w:r>
        <w:t xml:space="preserve">).</w:t>
      </w:r>
    </w:p>
    <w:bookmarkEnd w:id="11"/>
    <w:bookmarkStart w:id="12" w:name="data-cleaning"/>
    <w:p>
      <w:pPr>
        <w:pStyle w:val="Heading3"/>
      </w:pPr>
      <w:r>
        <w:t xml:space="preserve">3.4 Data cleaning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Duplicates:</w:t>
      </w:r>
      <w:r>
        <w:t xml:space="preserve"> </w:t>
      </w:r>
      <w:r>
        <w:t xml:space="preserve">0 duplicate composite keys after</w:t>
      </w:r>
      <w:r>
        <w:t xml:space="preserve"> </w:t>
      </w:r>
      <w:r>
        <w:rPr>
          <w:rStyle w:val="VerbatimChar"/>
        </w:rPr>
        <w:t xml:space="preserve">drop_duplicates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categorical labels standardised; cardinalities match the data dictionary (region 13, education 5, imd_band 10, age_band 3, gender/disability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values:</w:t>
      </w:r>
      <w:r>
        <w:t xml:space="preserve"> </w:t>
      </w:r>
      <w:r>
        <w:rPr>
          <w:rStyle w:val="VerbatimChar"/>
        </w:rPr>
        <w:t xml:space="preserve">imd_band</w:t>
      </w:r>
      <w:r>
        <w:t xml:space="preserve"> </w:t>
      </w:r>
      <w:r>
        <w:t xml:space="preserve">(1,111) →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; assessment gaps → 0 plus the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 </w:t>
      </w:r>
      <w:r>
        <w:t xml:space="preserve">indicator (a</w:t>
      </w:r>
      <w:r>
        <w:t xml:space="preserve"> </w:t>
      </w:r>
      <w:r>
        <w:rPr>
          <w:i/>
          <w:iCs/>
        </w:rPr>
        <w:t xml:space="preserve">signal</w:t>
      </w:r>
      <w:r>
        <w:t xml:space="preserve">, not noise);</w:t>
      </w:r>
      <w:r>
        <w:t xml:space="preserve"> </w:t>
      </w:r>
      <w:r>
        <w:rPr>
          <w:rStyle w:val="VerbatimChar"/>
        </w:rPr>
        <w:t xml:space="preserve">date_registration</w:t>
      </w:r>
      <w:r>
        <w:t xml:space="preserve"> </w:t>
      </w:r>
      <w:r>
        <w:t xml:space="preserve">(45) → train median. The only large gap,</w:t>
      </w:r>
      <w:r>
        <w:t xml:space="preserve"> </w:t>
      </w:r>
      <w:r>
        <w:rPr>
          <w:rStyle w:val="VerbatimChar"/>
        </w:rPr>
        <w:t xml:space="preserve">date_unregistration</w:t>
      </w:r>
      <w:r>
        <w:t xml:space="preserve"> </w:t>
      </w:r>
      <w:r>
        <w:t xml:space="preserve">(22,521), is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— most students never withdraw — and is not used as a feature.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Outliers:</w:t>
      </w:r>
      <w:r>
        <w:t xml:space="preserve"> </w:t>
      </w:r>
      <w:r>
        <w:t xml:space="preserve">right-skewed clickstream features use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; others use</w:t>
      </w:r>
      <w:r>
        <w:t xml:space="preserve"> </w:t>
      </w:r>
      <w:r>
        <w:rPr>
          <w:rStyle w:val="VerbatimChar"/>
        </w:rPr>
        <w:t xml:space="preserve">winsorize</w:t>
      </w:r>
      <w:r>
        <w:t xml:space="preserve">;</w:t>
      </w:r>
      <w:r>
        <w:t xml:space="preserve"> </w:t>
      </w:r>
      <w:r>
        <w:rPr>
          <w:b/>
          <w:bCs/>
        </w:rPr>
        <w:t xml:space="preserve">no rows are dropped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src/features/preprocessing.py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docs/04_transformation/Preprocessing_Sequence</w:t>
      </w:r>
      <w:r>
        <w:t xml:space="preserve">).</w:t>
      </w:r>
    </w:p>
    <w:bookmarkEnd w:id="12"/>
    <w:bookmarkStart w:id="13" w:name="time-aware-feature-extraction"/>
    <w:p>
      <w:pPr>
        <w:pStyle w:val="Heading3"/>
      </w:pPr>
      <w:r>
        <w:t xml:space="preserve">3.5 Time-aware feature extraction</w:t>
      </w:r>
    </w:p>
    <w:p>
      <w:pPr>
        <w:pStyle w:val="FirstParagraph"/>
      </w:pPr>
      <w:r>
        <w:t xml:space="preserve">Course lengths differ, so each progress percentage is converted to a concrete day:</w:t>
      </w:r>
      <w:r>
        <w:t xml:space="preserve"> </w:t>
      </w:r>
      <w:r>
        <w:rPr>
          <w:rStyle w:val="VerbatimChar"/>
        </w:rPr>
        <w:t xml:space="preserve">cutoff_day = round(module_presentation_length × t / 100)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 ∈ {10,20,40,60,80,100}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data/checkpoint_map.csv</w:t>
      </w:r>
      <w:r>
        <w:t xml:space="preserve">, 22×6 rows).</w:t>
      </w:r>
      <w:r>
        <w:t xml:space="preserve"> </w:t>
      </w:r>
      <w:r>
        <w:rPr>
          <w:rStyle w:val="VerbatimChar"/>
        </w:rPr>
        <w:t xml:space="preserve">cut_at_checkpoint()</w:t>
      </w:r>
      <w:r>
        <w:t xml:space="preserve"> </w:t>
      </w:r>
      <w:r>
        <w:t xml:space="preserve">keeps only events on or before the cutoff, and the master pipeline is re-run per checkpoint to produce</w:t>
      </w:r>
      <w:r>
        <w:t xml:space="preserve"> </w:t>
      </w:r>
      <w:r>
        <w:rPr>
          <w:b/>
          <w:bCs/>
        </w:rPr>
        <w:t xml:space="preserve">six datasets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dataset_t10 … dataset_t100</w:t>
      </w:r>
      <w:r>
        <w:t xml:space="preserve">), each</w:t>
      </w:r>
      <w:r>
        <w:t xml:space="preserve"> </w:t>
      </w:r>
      <w:r>
        <w:rPr>
          <w:b/>
          <w:bCs/>
        </w:rPr>
        <w:t xml:space="preserve">32,593 rows</w:t>
      </w:r>
      <w:r>
        <w:t xml:space="preserve"> </w:t>
      </w:r>
      <w:r>
        <w:t xml:space="preserve">sharing an</w:t>
      </w:r>
      <w:r>
        <w:t xml:space="preserve"> </w:t>
      </w:r>
      <w:r>
        <w:rPr>
          <w:b/>
          <w:bCs/>
        </w:rPr>
        <w:t xml:space="preserve">identical roster</w:t>
      </w:r>
      <w:r>
        <w:t xml:space="preserve"> </w:t>
      </w:r>
      <w:r>
        <w:t xml:space="preserve">(Option A). At-risk rate is constant at 52.8% across checkpoints (labels are fixed); only engagement/performance features change with</w:t>
      </w:r>
      <w:r>
        <w:t xml:space="preserve"> </w:t>
      </w:r>
      <w:r>
        <w:rPr>
          <w:i/>
          <w:iCs/>
        </w:rPr>
        <w:t xml:space="preserve">t</w:t>
      </w:r>
      <w:r>
        <w:t xml:space="preserve">.</w:t>
      </w:r>
    </w:p>
    <w:bookmarkEnd w:id="13"/>
    <w:bookmarkStart w:id="14" w:name="leakage-prevention-and-splitting"/>
    <w:p>
      <w:pPr>
        <w:pStyle w:val="Heading3"/>
      </w:pPr>
      <w:r>
        <w:t xml:space="preserve">3.6 Leakage prevention and splitting</w:t>
      </w:r>
    </w:p>
    <w:p>
      <w:pPr>
        <w:pStyle w:val="FirstParagraph"/>
      </w:pPr>
      <w:r>
        <w:t xml:space="preserve">Two leakage axes are controlled. On the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axis, three rules (drop post-cutoff submissions; drop post-cutoff clicks; keep Withdrawn-before-</w:t>
      </w:r>
      <w:r>
        <w:rPr>
          <w:i/>
          <w:iCs/>
        </w:rPr>
        <w:t xml:space="preserve">t</w:t>
      </w:r>
      <w:r>
        <w:t xml:space="preserve"> </w:t>
      </w:r>
      <w:r>
        <w:t xml:space="preserve">as at-risk) are documented in</w:t>
      </w:r>
      <w:r>
        <w:t xml:space="preserve"> </w:t>
      </w:r>
      <w:r>
        <w:rPr>
          <w:rStyle w:val="VerbatimChar"/>
        </w:rPr>
        <w:t xml:space="preserve">docs/03_cleaning/Leakage_Prevention_Rules</w:t>
      </w:r>
      <w:r>
        <w:t xml:space="preserve">. On the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axis, the sequence</w:t>
      </w:r>
      <w:r>
        <w:t xml:space="preserve"> </w:t>
      </w:r>
      <w:r>
        <w:rPr>
          <w:b/>
          <w:bCs/>
        </w:rPr>
        <w:t xml:space="preserve">split → impute → outliers → encode/scale → resample</w:t>
      </w:r>
      <w:r>
        <w:t xml:space="preserve"> </w:t>
      </w:r>
      <w:r>
        <w:t xml:space="preserve">fits every learner on the training fold only (</w:t>
      </w:r>
      <w:r>
        <w:rPr>
          <w:rStyle w:val="VerbatimChar"/>
        </w:rPr>
        <w:t xml:space="preserve">docs/04_transformation/Preprocessing_Sequence</w:t>
      </w:r>
      <w:r>
        <w:t xml:space="preserve">). The split is</w:t>
      </w:r>
      <w:r>
        <w:t xml:space="preserve"> </w:t>
      </w:r>
      <w:r>
        <w:rPr>
          <w:b/>
          <w:bCs/>
        </w:rPr>
        <w:t xml:space="preserve">group-aware (by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+ stratified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fixed 20% test set</w:t>
      </w:r>
      <w:r>
        <w:t xml:space="preserve"> </w:t>
      </w:r>
      <w:r>
        <w:t xml:space="preserve">reused across checkpoints (</w:t>
      </w:r>
      <w:r>
        <w:rPr>
          <w:rStyle w:val="VerbatimChar"/>
        </w:rPr>
        <w:t xml:space="preserve">docs/05_splitting/Split_Strategy_Analysis</w:t>
      </w:r>
      <w:r>
        <w:t xml:space="preserve">): train ≈ 26,104 rows, test ≈ 6,489 rows,</w:t>
      </w:r>
      <w:r>
        <w:t xml:space="preserve"> </w:t>
      </w:r>
      <w:r>
        <w:rPr>
          <w:b/>
          <w:bCs/>
        </w:rPr>
        <w:t xml:space="preserve">0 student overlap</w:t>
      </w:r>
      <w:r>
        <w:t xml:space="preserve">, class ratio 0.53/0.52. CV on the training set uses</w:t>
      </w:r>
      <w:r>
        <w:t xml:space="preserve"> </w:t>
      </w:r>
      <w:r>
        <w:rPr>
          <w:b/>
          <w:bCs/>
        </w:rPr>
        <w:t xml:space="preserve">5-fold × 5 seeds</w:t>
      </w:r>
      <w:r>
        <w:t xml:space="preserve">; headline metrics are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on the at-risk class.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 </w:t>
      </w:r>
      <w:r>
        <w:t xml:space="preserve">asserts all of this:</w:t>
      </w:r>
      <w:r>
        <w:t xml:space="preserve"> </w:t>
      </w:r>
      <w:r>
        <w:rPr>
          <w:b/>
          <w:bCs/>
        </w:rPr>
        <w:t xml:space="preserve">16/16 tests pass</w:t>
      </w:r>
      <w:r>
        <w:t xml:space="preserve">.</w:t>
      </w:r>
    </w:p>
    <w:bookmarkEnd w:id="14"/>
    <w:bookmarkStart w:id="15" w:name="reproducibility"/>
    <w:p>
      <w:pPr>
        <w:pStyle w:val="Heading3"/>
      </w:pPr>
      <w:r>
        <w:t xml:space="preserve">3.7 Reproducibility</w:t>
      </w:r>
    </w:p>
    <w:p>
      <w:pPr>
        <w:pStyle w:val="FirstParagraph"/>
      </w:pPr>
      <w:r>
        <w:rPr>
          <w:rStyle w:val="VerbatimChar"/>
        </w:rPr>
        <w:t xml:space="preserve">RANDOM_SEED = 42</w:t>
      </w:r>
      <w:r>
        <w:t xml:space="preserve"> </w:t>
      </w:r>
      <w:r>
        <w:t xml:space="preserve">throughout; provenance in</w:t>
      </w:r>
      <w:r>
        <w:t xml:space="preserve"> </w:t>
      </w:r>
      <w:r>
        <w:rPr>
          <w:rStyle w:val="VerbatimChar"/>
        </w:rPr>
        <w:t xml:space="preserve">data/data_manifest.txt</w:t>
      </w:r>
      <w:r>
        <w:t xml:space="preserve"> </w:t>
      </w:r>
      <w:r>
        <w:t xml:space="preserve">(MD5 + size + date); environment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/</w:t>
      </w:r>
      <w:r>
        <w:rPr>
          <w:rStyle w:val="VerbatimChar"/>
        </w:rPr>
        <w:t xml:space="preserve">environment.yml</w:t>
      </w:r>
      <w:r>
        <w:t xml:space="preserve">; notebooks run</w:t>
      </w:r>
      <w:r>
        <w:t xml:space="preserve"> </w:t>
      </w:r>
      <w:r>
        <w:rPr>
          <w:i/>
          <w:iCs/>
        </w:rPr>
        <w:t xml:space="preserve">Restart &amp; Run All</w:t>
      </w:r>
      <w:r>
        <w:t xml:space="preserve">; long steps are checkpointed/resumable; parquet writes are atomic. Full steps in</w:t>
      </w:r>
      <w:r>
        <w:t xml:space="preserve"> </w:t>
      </w:r>
      <w:r>
        <w:rPr>
          <w:rStyle w:val="VerbatimChar"/>
        </w:rPr>
        <w:t xml:space="preserve">docs/07_standards/Reproducibility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68" w:name="chapter-4-exploratory-data-analysis"/>
    <w:p>
      <w:pPr>
        <w:pStyle w:val="Heading2"/>
      </w:pPr>
      <w:r>
        <w:t xml:space="preserve">Chapter 4 — Exploratory Data Analysis</w:t>
      </w:r>
    </w:p>
    <w:p>
      <w:pPr>
        <w:pStyle w:val="FirstParagraph"/>
      </w:pPr>
      <w:r>
        <w:t xml:space="preserve">Every comparison is supported by an appropriate statistic, not visual impression alone:</w:t>
      </w:r>
      <w:r>
        <w:t xml:space="preserve"> </w:t>
      </w:r>
      <w:r>
        <w:rPr>
          <w:b/>
          <w:bCs/>
        </w:rPr>
        <w:t xml:space="preserve">Mann-Whitney U</w:t>
      </w:r>
      <w:r>
        <w:t xml:space="preserve"> </w:t>
      </w:r>
      <w:r>
        <w:t xml:space="preserve">tests (Benjamini-Hochberg corrected) with</w:t>
      </w:r>
      <w:r>
        <w:t xml:space="preserve"> </w:t>
      </w:r>
      <w:r>
        <w:rPr>
          <w:b/>
          <w:bCs/>
        </w:rPr>
        <w:t xml:space="preserve">Cohen’s d</w:t>
      </w:r>
      <w:r>
        <w:t xml:space="preserve"> </w:t>
      </w:r>
      <w:r>
        <w:t xml:space="preserve">for numeric features,</w:t>
      </w:r>
      <w:r>
        <w:t xml:space="preserve"> </w:t>
      </w:r>
      <w:r>
        <w:rPr>
          <w:b/>
          <w:bCs/>
        </w:rPr>
        <w:t xml:space="preserve">chi-square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Cramér’s V</w:t>
      </w:r>
      <w:r>
        <w:t xml:space="preserve"> </w:t>
      </w:r>
      <w:r>
        <w:t xml:space="preserve">for categorical features, and Pearson/Spearman correlation with an explicit leakage check. Figures follow the chart standard (</w:t>
      </w:r>
      <w:r>
        <w:rPr>
          <w:rStyle w:val="VerbatimChar"/>
        </w:rPr>
        <w:t xml:space="preserve">docs/07_standards/Chart_Standards</w:t>
      </w:r>
      <w:r>
        <w:t xml:space="preserve">); the analysis is</w:t>
      </w:r>
      <w:r>
        <w:t xml:space="preserve"> </w:t>
      </w:r>
      <w:r>
        <w:rPr>
          <w:rStyle w:val="VerbatimChar"/>
        </w:rPr>
        <w:t xml:space="preserve">src/eda/eda.py</w:t>
      </w:r>
      <w:r>
        <w:t xml:space="preserve">, narrated in notebook</w:t>
      </w:r>
      <w:r>
        <w:t xml:space="preserve"> </w:t>
      </w:r>
      <w:r>
        <w:rPr>
          <w:rStyle w:val="VerbatimChar"/>
        </w:rPr>
        <w:t xml:space="preserve">02</w:t>
      </w:r>
      <w:r>
        <w:t xml:space="preserve">, with result tables under</w:t>
      </w:r>
      <w:r>
        <w:t xml:space="preserve"> </w:t>
      </w:r>
      <w:r>
        <w:rPr>
          <w:rStyle w:val="VerbatimChar"/>
        </w:rPr>
        <w:t xml:space="preserve">reports/tables/</w:t>
      </w:r>
      <w:r>
        <w:t xml:space="preserve">.</w:t>
      </w:r>
    </w:p>
    <w:bookmarkStart w:id="20" w:name="data-quality"/>
    <w:p>
      <w:pPr>
        <w:pStyle w:val="Heading3"/>
      </w:pPr>
      <w:r>
        <w:t xml:space="preserve">4.0 Data quality</w:t>
      </w:r>
    </w:p>
    <w:p>
      <w:pPr>
        <w:pStyle w:val="FirstParagraph"/>
      </w:pPr>
      <w:r>
        <w:t xml:space="preserve">Only three columns contain gaps:</w:t>
      </w:r>
      <w:r>
        <w:t xml:space="preserve"> </w:t>
      </w:r>
      <w:r>
        <w:rPr>
          <w:rStyle w:val="VerbatimChar"/>
        </w:rPr>
        <w:t xml:space="preserve">date_unregistration</w:t>
      </w:r>
      <w:r>
        <w:t xml:space="preserve"> </w:t>
      </w:r>
      <w:r>
        <w:t xml:space="preserve">(22,521 — structurally absent for students who never withdraw, not a feature),</w:t>
      </w:r>
      <w:r>
        <w:t xml:space="preserve"> </w:t>
      </w:r>
      <w:r>
        <w:rPr>
          <w:rStyle w:val="VerbatimChar"/>
        </w:rPr>
        <w:t xml:space="preserve">imd_band</w:t>
      </w:r>
      <w:r>
        <w:t xml:space="preserve"> </w:t>
      </w:r>
      <w:r>
        <w:t xml:space="preserve">(1,111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date_registration</w:t>
      </w:r>
      <w:r>
        <w:t xml:space="preserve"> </w:t>
      </w:r>
      <w:r>
        <w:t xml:space="preserve">(45 → train median). No feature column is materially incomplete.</w:t>
      </w:r>
    </w:p>
    <w:p>
      <w:pPr>
        <w:pStyle w:val="CaptionedFigure"/>
      </w:pPr>
      <w:r>
        <w:drawing>
          <wp:inline>
            <wp:extent cx="5334000" cy="2687289"/>
            <wp:effectExtent b="0" l="0" r="0" t="0"/>
            <wp:docPr descr="Missing values by column" title="" id="18" name="Picture"/>
            <a:graphic>
              <a:graphicData uri="http://schemas.openxmlformats.org/drawingml/2006/picture">
                <pic:pic>
                  <pic:nvPicPr>
                    <pic:cNvPr descr="figures/quality_missingnes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 values by column</w:t>
      </w:r>
    </w:p>
    <w:bookmarkEnd w:id="20"/>
    <w:bookmarkStart w:id="24" w:name="class-distribution-and-imbalance-stt-27"/>
    <w:p>
      <w:pPr>
        <w:pStyle w:val="Heading3"/>
      </w:pPr>
      <w:r>
        <w:t xml:space="preserve">4.1 Class distribution and imbalance (STT 27)</w:t>
      </w:r>
    </w:p>
    <w:p>
      <w:pPr>
        <w:pStyle w:val="FirstParagraph"/>
      </w:pPr>
      <w:r>
        <w:t xml:space="preserve">The observed at-risk rate is</w:t>
      </w:r>
      <w:r>
        <w:t xml:space="preserve"> </w:t>
      </w:r>
      <w:r>
        <w:rPr>
          <w:b/>
          <w:bCs/>
        </w:rPr>
        <w:t xml:space="preserve">52.8%</w:t>
      </w:r>
      <w:r>
        <w:t xml:space="preserve"> </w:t>
      </w:r>
      <w:r>
        <w:t xml:space="preserve">(imbalance ratio 1.12) — a slight majority, not the illustrative 68/32 on the slides. Imbalance is therefore mild (reported honestly; it frames RQ3); PR-AUC and recall on the at-risk class remain the headline metrics because a missed at-risk student is the costly error.</w:t>
      </w:r>
    </w:p>
    <w:p>
      <w:pPr>
        <w:pStyle w:val="CaptionedFigure"/>
      </w:pPr>
      <w:r>
        <w:drawing>
          <wp:inline>
            <wp:extent cx="5334000" cy="2594110"/>
            <wp:effectExtent b="0" l="0" r="0" t="0"/>
            <wp:docPr descr="Target distribution and imbalance" title="" id="22" name="Picture"/>
            <a:graphic>
              <a:graphicData uri="http://schemas.openxmlformats.org/drawingml/2006/picture">
                <pic:pic>
                  <pic:nvPicPr>
                    <pic:cNvPr descr="figures/target_distribu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distribution and imbalance</w:t>
      </w:r>
    </w:p>
    <w:bookmarkEnd w:id="24"/>
    <w:bookmarkStart w:id="34" w:name="univariate-description-stt-28"/>
    <w:p>
      <w:pPr>
        <w:pStyle w:val="Heading3"/>
      </w:pPr>
      <w:r>
        <w:t xml:space="preserve">4.2 Univariate description (STT 28)</w:t>
      </w:r>
    </w:p>
    <w:p>
      <w:pPr>
        <w:pStyle w:val="FirstParagraph"/>
      </w:pPr>
      <w:r>
        <w:t xml:space="preserve">Engagement features are strongly right-skewed and heavy-tailed —</w:t>
      </w:r>
      <w:r>
        <w:t xml:space="preserve"> </w:t>
      </w:r>
      <w:r>
        <w:rPr>
          <w:rStyle w:val="VerbatimChar"/>
        </w:rPr>
        <w:t xml:space="preserve">clicks_resource</w:t>
      </w:r>
      <w:r>
        <w:t xml:space="preserve"> </w:t>
      </w:r>
      <w:r>
        <w:t xml:space="preserve">(skew ≈ 35, kurtosis ≈ 2,125),</w:t>
      </w:r>
      <w:r>
        <w:t xml:space="preserve"> </w:t>
      </w:r>
      <w:r>
        <w:rPr>
          <w:rStyle w:val="VerbatimChar"/>
        </w:rPr>
        <w:t xml:space="preserve">clicks_url</w:t>
      </w:r>
      <w:r>
        <w:t xml:space="preserve"> </w:t>
      </w:r>
      <w:r>
        <w:t xml:space="preserve">(skew ≈ 13),</w:t>
      </w:r>
      <w:r>
        <w:t xml:space="preserve"> </w:t>
      </w:r>
      <w:r>
        <w:rPr>
          <w:rStyle w:val="VerbatimChar"/>
        </w:rPr>
        <w:t xml:space="preserve">max_clicks_single_day</w:t>
      </w:r>
      <w:r>
        <w:t xml:space="preserve"> </w:t>
      </w:r>
      <w:r>
        <w:t xml:space="preserve">(skew ≈ 11) — empirically justifying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transform applied during cleaning. The full table (mean/median/std/quartiles/skew/kurtosis) is</w:t>
      </w:r>
      <w:r>
        <w:t xml:space="preserve"> </w:t>
      </w:r>
      <w:r>
        <w:rPr>
          <w:rStyle w:val="VerbatimChar"/>
        </w:rPr>
        <w:t xml:space="preserve">reports/tables/univariate_numeric.csv</w:t>
      </w:r>
      <w:r>
        <w:t xml:space="preserve">.</w:t>
      </w:r>
    </w:p>
    <w:p>
      <w:pPr>
        <w:pStyle w:val="BodyText"/>
      </w:pPr>
      <w:r>
        <w:drawing>
          <wp:inline>
            <wp:extent cx="5334000" cy="2402566"/>
            <wp:effectExtent b="0" l="0" r="0" t="0"/>
            <wp:docPr descr="Univariate distributions (histogram + KDE), coloured by feature group" title="" id="26" name="Picture"/>
            <a:graphic>
              <a:graphicData uri="http://schemas.openxmlformats.org/drawingml/2006/picture">
                <pic:pic>
                  <pic:nvPicPr>
                    <pic:cNvPr descr="figures/univariate_hist_kd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70909"/>
            <wp:effectExtent b="0" l="0" r="0" t="0"/>
            <wp:docPr descr="Univariate boxplots (IQR outlier inspection)" title="" id="29" name="Picture"/>
            <a:graphic>
              <a:graphicData uri="http://schemas.openxmlformats.org/drawingml/2006/picture">
                <pic:pic>
                  <pic:nvPicPr>
                    <pic:cNvPr descr="figures/univariate_boxplo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47799"/>
            <wp:effectExtent b="0" l="0" r="0" t="0"/>
            <wp:docPr descr="Categorical frequency distributions" title="" id="32" name="Picture"/>
            <a:graphic>
              <a:graphicData uri="http://schemas.openxmlformats.org/drawingml/2006/picture">
                <pic:pic>
                  <pic:nvPicPr>
                    <pic:cNvPr descr="figures/univariate_categorical_freq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X1ed819a0125bdfd3266ccf29600abdffe594c6a"/>
    <w:p>
      <w:pPr>
        <w:pStyle w:val="Heading3"/>
      </w:pPr>
      <w:r>
        <w:t xml:space="preserve">4.3 Bivariate — numeric features vs. the target (STT 36)</w:t>
      </w:r>
    </w:p>
    <w:p>
      <w:pPr>
        <w:pStyle w:val="FirstParagraph"/>
      </w:pPr>
      <w:r>
        <w:t xml:space="preserve">Mann-Whitney U tests (BH-corrected) find</w:t>
      </w:r>
      <w:r>
        <w:t xml:space="preserve"> </w:t>
      </w:r>
      <w:r>
        <w:rPr>
          <w:b/>
          <w:bCs/>
        </w:rPr>
        <w:t xml:space="preserve">all 19 numeric features significant</w:t>
      </w:r>
      <w:r>
        <w:t xml:space="preserve"> </w:t>
      </w:r>
      <w:r>
        <w:t xml:space="preserve">(q &lt; 0.05) — unsurprising at n ≈ 32,593 — so</w:t>
      </w:r>
      <w:r>
        <w:t xml:space="preserve"> </w:t>
      </w:r>
      <w:r>
        <w:rPr>
          <w:b/>
          <w:bCs/>
        </w:rPr>
        <w:t xml:space="preserve">effect size</w:t>
      </w:r>
      <w:r>
        <w:t xml:space="preserve">, not the p-value, is the discriminator. Ranked by |Cohen’s d|: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|Cohen’s d|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1.58</w:t>
            </w:r>
          </w:p>
        </w:tc>
      </w:tr>
    </w:tbl>
    <w:p>
      <w:pPr>
        <w:pStyle w:val="BodyText"/>
      </w:pPr>
      <w:r>
        <w:t xml:space="preserve">Behaviour and performance dominate; demographics are weakest (</w:t>
      </w:r>
      <w:r>
        <w:rPr>
          <w:rStyle w:val="VerbatimChar"/>
        </w:rPr>
        <w:t xml:space="preserve">studied_credits</w:t>
      </w:r>
      <w:r>
        <w:t xml:space="preserve"> </w:t>
      </w:r>
      <w:r>
        <w:t xml:space="preserve">0.28,</w:t>
      </w:r>
      <w:r>
        <w:t xml:space="preserve"> </w:t>
      </w:r>
      <w:r>
        <w:rPr>
          <w:rStyle w:val="VerbatimChar"/>
        </w:rPr>
        <w:t xml:space="preserve">num_of_prev_attempts</w:t>
      </w:r>
      <w:r>
        <w:t xml:space="preserve"> </w:t>
      </w:r>
      <w:r>
        <w:t xml:space="preserve">0.21). Full test table:</w:t>
      </w:r>
      <w:r>
        <w:t xml:space="preserve"> </w:t>
      </w:r>
      <w:r>
        <w:rPr>
          <w:rStyle w:val="VerbatimChar"/>
        </w:rPr>
        <w:t xml:space="preserve">reports/tables/bivariate_numeric_tests.csv</w:t>
      </w:r>
      <w:r>
        <w:t xml:space="preserve">.</w:t>
      </w:r>
    </w:p>
    <w:p>
      <w:pPr>
        <w:pStyle w:val="BodyText"/>
      </w:pPr>
      <w:r>
        <w:drawing>
          <wp:inline>
            <wp:extent cx="5334000" cy="3619910"/>
            <wp:effectExtent b="0" l="0" r="0" t="0"/>
            <wp:docPr descr="Discriminative power (|Cohen’s d|), coloured by feature group" title="" id="36" name="Picture"/>
            <a:graphic>
              <a:graphicData uri="http://schemas.openxmlformats.org/drawingml/2006/picture">
                <pic:pic>
                  <pic:nvPicPr>
                    <pic:cNvPr descr="figures/bivariate_effect_siz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47878"/>
            <wp:effectExtent b="0" l="0" r="0" t="0"/>
            <wp:docPr descr="The six strongest numeric features by class" title="" id="39" name="Picture"/>
            <a:graphic>
              <a:graphicData uri="http://schemas.openxmlformats.org/drawingml/2006/picture">
                <pic:pic>
                  <pic:nvPicPr>
                    <pic:cNvPr descr="figures/bivariate_top_boxplot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4170f45b43f4f6ec3e7c1dde3c482d0c1a0b787"/>
    <w:p>
      <w:pPr>
        <w:pStyle w:val="Heading3"/>
      </w:pPr>
      <w:r>
        <w:t xml:space="preserve">4.4 Bivariate — categorical features vs. the target</w:t>
      </w:r>
    </w:p>
    <w:p>
      <w:pPr>
        <w:pStyle w:val="FirstParagraph"/>
      </w:pPr>
      <w:r>
        <w:t xml:space="preserve">Chi-square tests are significant, but the</w:t>
      </w:r>
      <w:r>
        <w:t xml:space="preserve"> </w:t>
      </w:r>
      <w:r>
        <w:rPr>
          <w:b/>
          <w:bCs/>
        </w:rPr>
        <w:t xml:space="preserve">Cramér’s V</w:t>
      </w:r>
      <w:r>
        <w:t xml:space="preserve"> </w:t>
      </w:r>
      <w:r>
        <w:t xml:space="preserve">effect sizes are small:</w:t>
      </w:r>
      <w:r>
        <w:t xml:space="preserve"> </w:t>
      </w:r>
      <w:r>
        <w:rPr>
          <w:rStyle w:val="VerbatimChar"/>
        </w:rPr>
        <w:t xml:space="preserve">highest_education</w:t>
      </w:r>
      <w:r>
        <w:t xml:space="preserve"> </w:t>
      </w:r>
      <w:r>
        <w:t xml:space="preserve">(0.15) and</w:t>
      </w:r>
      <w:r>
        <w:t xml:space="preserve"> </w:t>
      </w:r>
      <w:r>
        <w:rPr>
          <w:rStyle w:val="VerbatimChar"/>
        </w:rPr>
        <w:t xml:space="preserve">imd_band</w:t>
      </w:r>
      <w:r>
        <w:t xml:space="preserve"> </w:t>
      </w:r>
      <w:r>
        <w:t xml:space="preserve">(0.15) lead, while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(0.02) is negligible. Demographics carry limited standalone signal and are best retained for fairness analysis rather than predictive reliance.</w:t>
      </w:r>
    </w:p>
    <w:p>
      <w:pPr>
        <w:pStyle w:val="CaptionedFigure"/>
      </w:pPr>
      <w:r>
        <w:drawing>
          <wp:inline>
            <wp:extent cx="5334000" cy="2973431"/>
            <wp:effectExtent b="0" l="0" r="0" t="0"/>
            <wp:docPr descr="At-risk rate across categorical levels (dashed = overall 52.8%)" title="" id="43" name="Picture"/>
            <a:graphic>
              <a:graphicData uri="http://schemas.openxmlformats.org/drawingml/2006/picture">
                <pic:pic>
                  <pic:nvPicPr>
                    <pic:cNvPr descr="figures/bivariate_categorical_rat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At-risk rate across categorical levels (dashed = overall 52.8%)</w:t>
      </w:r>
    </w:p>
    <w:bookmarkEnd w:id="45"/>
    <w:bookmarkStart w:id="55" w:name="Xe3aa3a0f768ed4b2e9d6a871b9bf327cb8dcd30"/>
    <w:p>
      <w:pPr>
        <w:pStyle w:val="Heading3"/>
      </w:pPr>
      <w:r>
        <w:t xml:space="preserve">4.5 Multivariate — correlation, multicollinearity, leakage (STT 37)</w:t>
      </w:r>
    </w:p>
    <w:p>
      <w:pPr>
        <w:pStyle w:val="FirstParagraph"/>
      </w:pPr>
      <w:r>
        <w:t xml:space="preserve">Pearson and Spearman agree on the structure. Two pairs are multicollinear (|r| ≥ 0.8):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–</w:t>
      </w:r>
      <w:r>
        <w:rPr>
          <w:rStyle w:val="VerbatimChar"/>
        </w:rPr>
        <w:t xml:space="preserve">total_clicks</w:t>
      </w:r>
      <w:r>
        <w:t xml:space="preserve"> </w:t>
      </w:r>
      <w:r>
        <w:t xml:space="preserve">(0.84) and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–</w:t>
      </w:r>
      <w:r>
        <w:rPr>
          <w:rStyle w:val="VerbatimChar"/>
        </w:rPr>
        <w:t xml:space="preserve">n_assessments_submitted</w:t>
      </w:r>
      <w:r>
        <w:t xml:space="preserve"> </w:t>
      </w:r>
      <w:r>
        <w:t xml:space="preserve">(−0.83) — relevant to explanation stability (RQ2). Strongest target correlations: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 </w:t>
      </w:r>
      <w:r>
        <w:t xml:space="preserve">(0.78),</w:t>
      </w:r>
      <w:r>
        <w:t xml:space="preserve"> </w:t>
      </w:r>
      <w:r>
        <w:rPr>
          <w:rStyle w:val="VerbatimChar"/>
        </w:rPr>
        <w:t xml:space="preserve">n_assessments_submitted</w:t>
      </w:r>
      <w:r>
        <w:t xml:space="preserve"> </w:t>
      </w:r>
      <w:r>
        <w:t xml:space="preserve">(0.72),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(0.71).</w:t>
      </w:r>
      <w:r>
        <w:t xml:space="preserve"> </w:t>
      </w:r>
      <w:r>
        <w:rPr>
          <w:b/>
          <w:bCs/>
        </w:rPr>
        <w:t xml:space="preserve">No feature correlates ≥ 0.95 with the target</w:t>
      </w:r>
      <w:r>
        <w:t xml:space="preserve">, so none acts as a leakage proxy.</w:t>
      </w:r>
    </w:p>
    <w:p>
      <w:pPr>
        <w:pStyle w:val="BodyText"/>
      </w:pPr>
      <w:r>
        <w:drawing>
          <wp:inline>
            <wp:extent cx="5334000" cy="4641828"/>
            <wp:effectExtent b="0" l="0" r="0" t="0"/>
            <wp:docPr descr="Pearson correlation matrix" title="" id="47" name="Picture"/>
            <a:graphic>
              <a:graphicData uri="http://schemas.openxmlformats.org/drawingml/2006/picture">
                <pic:pic>
                  <pic:nvPicPr>
                    <pic:cNvPr descr="figures/corr_pears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1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41828"/>
            <wp:effectExtent b="0" l="0" r="0" t="0"/>
            <wp:docPr descr="Spearman correlation matrix" title="" id="50" name="Picture"/>
            <a:graphic>
              <a:graphicData uri="http://schemas.openxmlformats.org/drawingml/2006/picture">
                <pic:pic>
                  <pic:nvPicPr>
                    <pic:cNvPr descr="figures/corr_spearma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1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63962"/>
            <wp:effectExtent b="0" l="0" r="0" t="0"/>
            <wp:docPr descr="Correlation of features with the target" title="" id="53" name="Picture"/>
            <a:graphic>
              <a:graphicData uri="http://schemas.openxmlformats.org/drawingml/2006/picture">
                <pic:pic>
                  <pic:nvPicPr>
                    <pic:cNvPr descr="figures/corr_with_targ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X72028272aaeb99580bb8edbcb7e62ce055cec1b"/>
    <w:p>
      <w:pPr>
        <w:pStyle w:val="Heading3"/>
      </w:pPr>
      <w:r>
        <w:t xml:space="preserve">4.6 Time-aware analysis — when does the signal emerge? (STT 38, RQ1)</w:t>
      </w:r>
    </w:p>
    <w:p>
      <w:pPr>
        <w:pStyle w:val="FirstParagraph"/>
      </w:pPr>
      <w:r>
        <w:t xml:space="preserve">Tracking</w:t>
      </w:r>
      <w:r>
        <w:t xml:space="preserve"> </w:t>
      </w:r>
      <w:r>
        <w:rPr>
          <w:b/>
          <w:bCs/>
        </w:rPr>
        <w:t xml:space="preserve">|Cohen’s d| per checkpoint</w:t>
      </w:r>
      <w:r>
        <w:t xml:space="preserve"> </w:t>
      </w:r>
      <w:r>
        <w:t xml:space="preserve">shows how class separability grows as the course progresses.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 </w:t>
      </w:r>
      <w:r>
        <w:t xml:space="preserve">already exceeds the large-effect threshold (d ≥ 0.8) at</w:t>
      </w:r>
      <w:r>
        <w:t xml:space="preserve"> </w:t>
      </w:r>
      <w:r>
        <w:rPr>
          <w:b/>
          <w:bCs/>
        </w:rPr>
        <w:t xml:space="preserve">t = 10%</w:t>
      </w:r>
      <w:r>
        <w:t xml:space="preserve">; the score and submission features cross it by</w:t>
      </w:r>
      <w:r>
        <w:t xml:space="preserve"> </w:t>
      </w:r>
      <w:r>
        <w:rPr>
          <w:b/>
          <w:bCs/>
        </w:rPr>
        <w:t xml:space="preserve">t = 20%</w:t>
      </w:r>
      <w:r>
        <w:t xml:space="preserve">;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t = 40%</w:t>
      </w:r>
      <w:r>
        <w:t xml:space="preserve">. The behavioural signal is therefore actionable from ~20–40% of course length, grounding the RQ1 schedule in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earliest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 </w:t>
            </w:r>
            <w:r>
              <w:t xml:space="preserve">with |d| ≥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mean_score_to_date · n_assessments_submitted · weighted_score_to_date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p>
      <w:pPr>
        <w:pStyle w:val="BodyText"/>
      </w:pPr>
      <w:r>
        <w:drawing>
          <wp:inline>
            <wp:extent cx="5334000" cy="1511968"/>
            <wp:effectExtent b="0" l="0" r="0" t="0"/>
            <wp:docPr descr="Mean feature trajectory by class across checkpoints" title="" id="57" name="Picture"/>
            <a:graphic>
              <a:graphicData uri="http://schemas.openxmlformats.org/drawingml/2006/picture">
                <pic:pic>
                  <pic:nvPicPr>
                    <pic:cNvPr descr="figures/time_mean_trajector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14255"/>
            <wp:effectExtent b="0" l="0" r="0" t="0"/>
            <wp:docPr descr="Discrimination growth across checkpoints (RQ1)" title="" id="60" name="Picture"/>
            <a:graphic>
              <a:graphicData uri="http://schemas.openxmlformats.org/drawingml/2006/picture">
                <pic:pic>
                  <pic:nvPicPr>
                    <pic:cNvPr descr="figures/time_discrimination_curv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X96bbc7bc11811c449b270b3e9bc2b5b7509a4d5"/>
    <w:p>
      <w:pPr>
        <w:pStyle w:val="Heading3"/>
      </w:pPr>
      <w:r>
        <w:t xml:space="preserve">4.7 The Withdrawn early-warning signal (Step-0 Option A)</w:t>
      </w:r>
    </w:p>
    <w:p>
      <w:pPr>
        <w:pStyle w:val="FirstParagraph"/>
      </w:pPr>
      <w:r>
        <w:t xml:space="preserve">The data confirms Option A’s premise that withdrawal produces a genuine signal rather than noise: median inactivity is</w:t>
      </w:r>
      <w:r>
        <w:t xml:space="preserve"> </w:t>
      </w:r>
      <w:r>
        <w:rPr>
          <w:b/>
          <w:bCs/>
        </w:rPr>
        <w:t xml:space="preserve">11 days for not-at-risk, 116 for Fail, and 233 for Withdrawn</w:t>
      </w:r>
      <w:r>
        <w:t xml:space="preserve">, while median total clicks fall from</w:t>
      </w:r>
      <w:r>
        <w:t xml:space="preserve"> </w:t>
      </w:r>
      <w:r>
        <w:rPr>
          <w:b/>
          <w:bCs/>
        </w:rPr>
        <w:t xml:space="preserve">1,425 (not-at-risk) to 89 (Withdrawn)</w:t>
      </w:r>
      <w:r>
        <w:t xml:space="preserve">. The activity collapse of withdrawing students is exactly what makes early detection feasible.</w:t>
      </w:r>
    </w:p>
    <w:p>
      <w:pPr>
        <w:pStyle w:val="CaptionedFigure"/>
      </w:pPr>
      <w:r>
        <w:drawing>
          <wp:inline>
            <wp:extent cx="5334000" cy="2298192"/>
            <wp:effectExtent b="0" l="0" r="0" t="0"/>
            <wp:docPr descr="Withdrawn students: the activity-decay signal" title="" id="64" name="Picture"/>
            <a:graphic>
              <a:graphicData uri="http://schemas.openxmlformats.org/drawingml/2006/picture">
                <pic:pic>
                  <pic:nvPicPr>
                    <pic:cNvPr descr="figures/withdrawn_activity_deca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Withdrawn students: the activity-decay signal</w:t>
      </w:r>
    </w:p>
    <w:bookmarkEnd w:id="66"/>
    <w:bookmarkStart w:id="67" w:name="findings-and-implications-for-modelling"/>
    <w:p>
      <w:pPr>
        <w:pStyle w:val="Heading3"/>
      </w:pPr>
      <w:r>
        <w:t xml:space="preserve">4.8 Findings and implications for modelling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 (RQ1) — early, growing signal.</w:t>
      </w:r>
      <w:r>
        <w:t xml:space="preserve"> </w:t>
      </w:r>
      <w:r>
        <w:t xml:space="preserve">Behavioural/performance features separate the classes from t = 10–20% and strengthen monotonically; 40–60% is a robust, actionable window (consistent with Adnan et al. [1]).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F2 (RQ1/RQ2) — behaviour ≫ demographics.</w:t>
      </w:r>
      <w:r>
        <w:t xml:space="preserve"> </w:t>
      </w:r>
      <w:r>
        <w:t xml:space="preserve">Engagement/performance reach d &gt; 2 while demographic association stays small (Cramér’s V ≤ 0.15), reproducing Tomasevic et al. [2]; SHAP/LIME are expected to rank behavioural features highest.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F3 (RQ3) — mild imbalance.</w:t>
      </w:r>
      <w:r>
        <w:t xml:space="preserve"> </w:t>
      </w:r>
      <w:r>
        <w:t xml:space="preserve">At 52.8% at-risk, resampling may add little; RQ3 quantifies SMOTE/ADASYN/class-weight against this baseline using PR-AUC/recall.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F4 (RQ2) — correlated features.</w:t>
      </w:r>
      <w:r>
        <w:t xml:space="preserve"> </w:t>
      </w:r>
      <w:r>
        <w:t xml:space="preserve">Multicollinear engagement features may destabilise explanation importance — a factor the stability metric must account for.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F5 — no leakage.</w:t>
      </w:r>
      <w:r>
        <w:t xml:space="preserve"> </w:t>
      </w:r>
      <w:r>
        <w:t xml:space="preserve">No feature is near-perfectly correlated with the label, and the time-aware cut removes future events; held-out estimates should be trustworthy.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M. Adnan et al.,</w:t>
      </w:r>
      <w:r>
        <w:t xml:space="preserve"> </w:t>
      </w:r>
      <w:r>
        <w:t xml:space="preserve">“Predicting at-Risk Students at Different Percentages of Course Length for Early Intervention,”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t xml:space="preserve">“An overview and comparison of supervised data mining techniques for student exam performance 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p>
      <w:pPr>
        <w:pStyle w:val="Compact"/>
        <w:numPr>
          <w:ilvl w:val="0"/>
          <w:numId w:val="1003"/>
        </w:numPr>
      </w:pPr>
      <w:r>
        <w:t xml:space="preserve">J. Kuzilek, M. Hlosta, Z. Zdrahal,</w:t>
      </w:r>
      <w:r>
        <w:t xml:space="preserve"> </w:t>
      </w:r>
      <w:r>
        <w:t xml:space="preserve">“Open University Learning Analytics 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p>
      <w:pPr>
        <w:pStyle w:val="Compact"/>
        <w:numPr>
          <w:ilvl w:val="0"/>
          <w:numId w:val="1003"/>
        </w:numPr>
      </w:pPr>
      <w:r>
        <w:t xml:space="preserve">S. Gunasekara, M. Saarela,</w:t>
      </w:r>
      <w:r>
        <w:t xml:space="preserve"> </w:t>
      </w:r>
      <w:r>
        <w:t xml:space="preserve">“Explainable AI in Education: Techniques and Qualitative Assessment,”</w:t>
      </w:r>
      <w:r>
        <w:t xml:space="preserve"> </w:t>
      </w:r>
      <w:r>
        <w:rPr>
          <w:i/>
          <w:iCs/>
        </w:rPr>
        <w:t xml:space="preserve">Applied Sciences</w:t>
      </w:r>
      <w:r>
        <w:t xml:space="preserve">, vol. 15, no. 3, art. 1239, 2025.</w:t>
      </w:r>
    </w:p>
    <w:p>
      <w:pPr>
        <w:pStyle w:val="Compact"/>
        <w:numPr>
          <w:ilvl w:val="0"/>
          <w:numId w:val="1003"/>
        </w:numPr>
      </w:pPr>
      <w:r>
        <w:t xml:space="preserve">N. V. Chawla et al.,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JAIR</w:t>
      </w:r>
      <w:r>
        <w:t xml:space="preserve">, 2002.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2026-06-14T17:25:33Z</dcterms:created>
  <dcterms:modified xsi:type="dcterms:W3CDTF">2026-06-14T17:25:33Z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