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5.png" ContentType="image/png"/>
  <Override PartName="/word/media/rId38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17.png" ContentType="image/png"/>
  <Override PartName="/word/media/rId21.png" ContentType="image/png"/>
  <Override PartName="/word/media/rId59.png" ContentType="image/png"/>
  <Override PartName="/word/media/rId56.png" ContentType="image/png"/>
  <Override PartName="/word/media/rId28.png" ContentType="image/png"/>
  <Override PartName="/word/media/rId31.png" ContentType="image/png"/>
  <Override PartName="/word/media/rId25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X92fdfa1eb884038921d4e486f6f095c86d42c57"/>
    <w:p>
      <w:pPr>
        <w:pStyle w:val="Heading1"/>
      </w:pPr>
      <w:r>
        <w:t xml:space="preserve">Báo cáo 2 — Tác vụ dữ liệu: Thu thập, Làm sạch và Phân tích khám phá</w:t>
      </w:r>
    </w:p>
    <w:p>
      <w:pPr>
        <w:pStyle w:val="FirstParagraph"/>
      </w:pPr>
      <w:r>
        <w:rPr>
          <w:b/>
          <w:bCs/>
        </w:rPr>
        <w:t xml:space="preserve">DSP391m – Đồ án Khoa học Dữ liệu · Nhóm 1 · Đại học FPT</w:t>
      </w:r>
      <w:r>
        <w:t xml:space="preserve"> </w:t>
      </w:r>
      <w:r>
        <w:rPr>
          <w:i/>
          <w:iCs/>
        </w:rPr>
        <w:t xml:space="preserve">Đề tài: Time-Aware Explainable Machine Learning for Early At-Risk Student Prediction on OULAD · GVHD: Nguyễn Thị Hoàng Yến</w:t>
      </w:r>
      <w:r>
        <w:t xml:space="preserve"> </w:t>
      </w:r>
      <w:r>
        <w:rPr>
          <w:i/>
          <w:iCs/>
        </w:rPr>
        <w:t xml:space="preserve">Phạm vi: CLO3–CLO4 · Chương 3 (Thu thập &amp; Làm sạch) và Chương 4 (EDA). Bản thảo này tổng hợp các sản phẩm của nhóm; các tài liệu chi tiết riêng được tham chiếu trong bài.</w:t>
      </w:r>
    </w:p>
    <w:p>
      <w:r>
        <w:pict>
          <v:rect style="width:0;height:1.5pt" o:hralign="center" o:hrstd="t" o:hr="t"/>
        </w:pict>
      </w:r>
    </w:p>
    <w:bookmarkStart w:id="16" w:name="chương-3-thu-thập-và-làm-sạch-dữ-liệu"/>
    <w:p>
      <w:pPr>
        <w:pStyle w:val="Heading2"/>
      </w:pPr>
      <w:r>
        <w:t xml:space="preserve">Chương 3 — Thu thập và làm sạch dữ liệu</w:t>
      </w:r>
    </w:p>
    <w:bookmarkStart w:id="9" w:name="nguồn-dữ-liệu-giấy-phép-và-đạo-đức"/>
    <w:p>
      <w:pPr>
        <w:pStyle w:val="Heading3"/>
      </w:pPr>
      <w:r>
        <w:t xml:space="preserve">3.1 Nguồn dữ liệu, giấy phép và đạo đức</w:t>
      </w:r>
    </w:p>
    <w:p>
      <w:pPr>
        <w:pStyle w:val="FirstParagraph"/>
      </w:pPr>
      <w:r>
        <w:t xml:space="preserve">Đề tài sử dụng</w:t>
      </w:r>
      <w:r>
        <w:t xml:space="preserve"> </w:t>
      </w:r>
      <w:r>
        <w:rPr>
          <w:b/>
          <w:bCs/>
        </w:rPr>
        <w:t xml:space="preserve">Open University Learning Analytics Dataset (OULAD)</w:t>
      </w:r>
      <w:r>
        <w:t xml:space="preserve"> </w:t>
      </w:r>
      <w:r>
        <w:t xml:space="preserve">(Kuzilek và cộng sự, 2017 [3]):</w:t>
      </w:r>
      <w:r>
        <w:t xml:space="preserve"> </w:t>
      </w:r>
      <w:r>
        <w:rPr>
          <w:b/>
          <w:bCs/>
        </w:rPr>
        <w:t xml:space="preserve">32.593</w:t>
      </w:r>
      <w:r>
        <w:t xml:space="preserve"> </w:t>
      </w:r>
      <w:r>
        <w:t xml:space="preserve">bản ghi sinh viên–môn–kỳ trên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môn–kỳ và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bảng quan hệ, gồm ba nhóm đặc trưng (nhân khẩu học, tương tác/VLE, kết quả đánh giá) và biến kết quả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. OULAD đã được</w:t>
      </w:r>
      <w:r>
        <w:t xml:space="preserve"> </w:t>
      </w:r>
      <w:r>
        <w:rPr>
          <w:b/>
          <w:bCs/>
        </w:rPr>
        <w:t xml:space="preserve">ẩn danh tại nguồn</w:t>
      </w:r>
      <w:r>
        <w:t xml:space="preserve"> </w:t>
      </w:r>
      <w:r>
        <w:t xml:space="preserve">và phân phối theo</w:t>
      </w:r>
      <w:r>
        <w:t xml:space="preserve"> </w:t>
      </w:r>
      <w:r>
        <w:rPr>
          <w:b/>
          <w:bCs/>
        </w:rPr>
        <w:t xml:space="preserve">CC-BY 4.0</w:t>
      </w:r>
      <w:r>
        <w:t xml:space="preserve">, nên yêu cầu đạo đức được đáp ứng bằng việc trích dẫn đúng quy cách; không xử lý dữ liệu cá nhân nhạy cảm. Phân tích phương pháp thu thập và lý do dùng dữ liệu thứ cấp công khai nằm trong</w:t>
      </w:r>
      <w:r>
        <w:t xml:space="preserve"> </w:t>
      </w:r>
      <w:r>
        <w:rPr>
          <w:rStyle w:val="VerbatimChar"/>
        </w:rPr>
        <w:t xml:space="preserve">docs/02_collection/Data_Collection_Methods</w:t>
      </w:r>
      <w:r>
        <w:t xml:space="preserve">; phần nguồn/giấy phép/đạo đức trong</w:t>
      </w:r>
      <w:r>
        <w:t xml:space="preserve"> </w:t>
      </w:r>
      <w:r>
        <w:rPr>
          <w:rStyle w:val="VerbatimChar"/>
        </w:rPr>
        <w:t xml:space="preserve">docs/02_collection/Data_Source_License_Ethics</w:t>
      </w:r>
      <w:r>
        <w:t xml:space="preserve">.</w:t>
      </w:r>
    </w:p>
    <w:bookmarkEnd w:id="9"/>
    <w:bookmarkStart w:id="10" w:name="định-nghĩa-biến-mục-tiêu"/>
    <w:p>
      <w:pPr>
        <w:pStyle w:val="Heading3"/>
      </w:pPr>
      <w:r>
        <w:t xml:space="preserve">3.2 Định nghĩa biến mục tiêu</w:t>
      </w:r>
    </w:p>
    <w:p>
      <w:pPr>
        <w:pStyle w:val="FirstParagraph"/>
      </w:pPr>
      <w:r>
        <w:t xml:space="preserve">Bài toán là</w:t>
      </w:r>
      <w:r>
        <w:t xml:space="preserve"> </w:t>
      </w:r>
      <w:r>
        <w:rPr>
          <w:b/>
          <w:bCs/>
        </w:rPr>
        <w:t xml:space="preserve">phân loại nhị phân</w:t>
      </w:r>
      <w:r>
        <w:t xml:space="preserve">. Nhãn suy ra từ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cố định qua mọi mốc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Tỉ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(12.361) + Distinction (3.024)</w:t>
            </w:r>
          </w:p>
        </w:tc>
        <w:tc>
          <w:tcPr/>
          <w:p>
            <w:pPr>
              <w:pStyle w:val="Compact"/>
            </w:pPr>
            <w:r>
              <w:t xml:space="preserve">15.385</w:t>
            </w:r>
          </w:p>
        </w:tc>
        <w:tc>
          <w:tcPr/>
          <w:p>
            <w:pPr>
              <w:pStyle w:val="Compact"/>
            </w:pPr>
            <w:r>
              <w:t xml:space="preserve">47,2%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(7.052) + Withdrawn (10.156)</w:t>
            </w:r>
          </w:p>
        </w:tc>
        <w:tc>
          <w:tcPr/>
          <w:p>
            <w:pPr>
              <w:pStyle w:val="Compact"/>
            </w:pPr>
            <w:r>
              <w:t xml:space="preserve">17.208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52,8%</w:t>
            </w:r>
          </w:p>
        </w:tc>
      </w:tr>
    </w:tbl>
    <w:p>
      <w:pPr>
        <w:pStyle w:val="BodyText"/>
      </w:pPr>
      <w:r>
        <w:t xml:space="preserve">Lớp at-risk là</w:t>
      </w:r>
      <w:r>
        <w:t xml:space="preserve"> </w:t>
      </w:r>
      <w:r>
        <w:rPr>
          <w:b/>
          <w:bCs/>
        </w:rPr>
        <w:t xml:space="preserve">đa số nhẹ</w:t>
      </w:r>
      <w:r>
        <w:t xml:space="preserve"> </w:t>
      </w:r>
      <w:r>
        <w:t xml:space="preserve">(mất cân bằng nhẹ); con số 68/32 trên slide chỉ mang tính minh hoạ. Lập luận đầy đủ và quy ước xử lý Withdrawn theo thời gian (</w:t>
      </w:r>
      <w:r>
        <w:rPr>
          <w:b/>
          <w:bCs/>
        </w:rPr>
        <w:t xml:space="preserve">Phương án A</w:t>
      </w:r>
      <w:r>
        <w:t xml:space="preserve">: nhãn cố định, quần thể cố định, giữ Withdrawn-trước-</w:t>
      </w:r>
      <w:r>
        <w:rPr>
          <w:i/>
          <w:iCs/>
        </w:rPr>
        <w:t xml:space="preserve">t</w:t>
      </w:r>
      <w:r>
        <w:t xml:space="preserve"> </w:t>
      </w:r>
      <w:r>
        <w:t xml:space="preserve">là at-risk) nằm trong</w:t>
      </w:r>
      <w:r>
        <w:t xml:space="preserve"> </w:t>
      </w:r>
      <w:r>
        <w:rPr>
          <w:rStyle w:val="VerbatimChar"/>
        </w:rPr>
        <w:t xml:space="preserve">docs/01_data_specification/Target_Variable_Definition</w:t>
      </w:r>
      <w:r>
        <w:t xml:space="preserve"> </w:t>
      </w:r>
      <w:r>
        <w:t xml:space="preserve">(biên bản BB-B0-N1).</w:t>
      </w:r>
    </w:p>
    <w:bookmarkEnd w:id="10"/>
    <w:bookmarkStart w:id="11" w:name="tích-hợp-dữ-liệu-bảng-hợp-nhất"/>
    <w:p>
      <w:pPr>
        <w:pStyle w:val="Heading3"/>
      </w:pPr>
      <w:r>
        <w:t xml:space="preserve">3.3 Tích hợp dữ liệu — bảng hợp nhất</w:t>
      </w:r>
    </w:p>
    <w:p>
      <w:pPr>
        <w:pStyle w:val="FirstParagraph"/>
      </w:pPr>
      <w:r>
        <w:t xml:space="preserve">Bảy bảng được hợp nhất thành một</w:t>
      </w:r>
      <w:r>
        <w:t xml:space="preserve"> </w:t>
      </w:r>
      <w:r>
        <w:rPr>
          <w:b/>
          <w:bCs/>
        </w:rPr>
        <w:t xml:space="preserve">bảng phẳng</w:t>
      </w:r>
      <w:r>
        <w:t xml:space="preserve">, mỗi dòng một sinh viên–môn–kỳ.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làm bảng nền; bảng đăng ký, bảng tương tác đã tổng hợp và bảng kết quả đã tổng hợp được nối bằng</w:t>
      </w:r>
      <w:r>
        <w:t xml:space="preserve"> </w:t>
      </w:r>
      <w:r>
        <w:rPr>
          <w:b/>
          <w:bCs/>
        </w:rPr>
        <w:t xml:space="preserve">left join</w:t>
      </w:r>
      <w:r>
        <w:t xml:space="preserve">;</w:t>
      </w:r>
      <w:r>
        <w:t xml:space="preserve"> </w:t>
      </w:r>
      <w:r>
        <w:rPr>
          <w:b/>
          <w:bCs/>
        </w:rPr>
        <w:t xml:space="preserve">nhật ký kết nối</w:t>
      </w:r>
      <w:r>
        <w:t xml:space="preserve"> </w:t>
      </w:r>
      <w:r>
        <w:t xml:space="preserve">trước/sau chứng minh tính toàn vẹn: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rows_before</w:t>
            </w:r>
          </w:p>
        </w:tc>
        <w:tc>
          <w:tcPr/>
          <w:p>
            <w:pPr>
              <w:pStyle w:val="Compact"/>
            </w:pPr>
            <w:r>
              <w:t xml:space="preserve">rows_after</w:t>
            </w:r>
          </w:p>
        </w:tc>
        <w:tc>
          <w:tcPr/>
          <w:p>
            <w:pPr>
              <w:pStyle w:val="Compact"/>
            </w:pPr>
            <w:r>
              <w:t xml:space="preserve">n_students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studentInfo (nền)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28.785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registration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28.785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engagement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28.785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performance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32.593</w:t>
            </w:r>
          </w:p>
        </w:tc>
        <w:tc>
          <w:tcPr/>
          <w:p>
            <w:pPr>
              <w:pStyle w:val="Compact"/>
            </w:pPr>
            <w:r>
              <w:t xml:space="preserve">28.785</w:t>
            </w:r>
          </w:p>
        </w:tc>
      </w:tr>
    </w:tbl>
    <w:p>
      <w:pPr>
        <w:pStyle w:val="BodyText"/>
      </w:pPr>
      <w:r>
        <w:t xml:space="preserve">Không dòng nào bị nhân bản hay thất thoát.</w:t>
      </w:r>
      <w:r>
        <w:t xml:space="preserve"> </w:t>
      </w:r>
      <w:r>
        <w:rPr>
          <w:b/>
          <w:bCs/>
        </w:rPr>
        <w:t xml:space="preserve">Đặc trưng tương tác</w:t>
      </w:r>
      <w:r>
        <w:t xml:space="preserve"> </w:t>
      </w:r>
      <w:r>
        <w:t xml:space="preserve">được tổng hợp từ clickstream</w:t>
      </w:r>
      <w:r>
        <w:t xml:space="preserve"> </w:t>
      </w:r>
      <w:r>
        <w:rPr>
          <w:rStyle w:val="VerbatimChar"/>
        </w:rPr>
        <w:t xml:space="preserve">studentVle</w:t>
      </w:r>
      <w:r>
        <w:t xml:space="preserve"> </w:t>
      </w:r>
      <w:r>
        <w:t xml:space="preserve">(</w:t>
      </w:r>
      <w:r>
        <w:rPr>
          <w:b/>
          <w:bCs/>
        </w:rPr>
        <w:t xml:space="preserve">10.655.280</w:t>
      </w:r>
      <w:r>
        <w:t xml:space="preserve"> </w:t>
      </w:r>
      <w:r>
        <w:t xml:space="preserve">dòng, nối với</w:t>
      </w:r>
      <w:r>
        <w:t xml:space="preserve"> </w:t>
      </w:r>
      <w:r>
        <w:rPr>
          <w:rStyle w:val="VerbatimChar"/>
        </w:rPr>
        <w:t xml:space="preserve">vle</w:t>
      </w:r>
      <w:r>
        <w:t xml:space="preserve"> </w:t>
      </w:r>
      <w:r>
        <w:t xml:space="preserve">để lấy loại hoạt động):</w:t>
      </w:r>
      <w:r>
        <w:t xml:space="preserve"> </w:t>
      </w:r>
      <w:r>
        <w:rPr>
          <w:rStyle w:val="VerbatimChar"/>
        </w:rPr>
        <w:t xml:space="preserve">total_clicks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, tám cột</w:t>
      </w:r>
      <w:r>
        <w:t xml:space="preserve"> </w:t>
      </w:r>
      <w:r>
        <w:rPr>
          <w:rStyle w:val="VerbatimChar"/>
        </w:rPr>
        <w:t xml:space="preserve">clicks_&lt;loại&gt;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mean_clicks_per_active_day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.</w:t>
      </w:r>
      <w:r>
        <w:t xml:space="preserve"> </w:t>
      </w:r>
      <w:r>
        <w:rPr>
          <w:b/>
          <w:bCs/>
        </w:rPr>
        <w:t xml:space="preserve">Đặc trưng kết quả</w:t>
      </w:r>
      <w:r>
        <w:t xml:space="preserve"> </w:t>
      </w:r>
      <w:r>
        <w:t xml:space="preserve">được tổng hợp từ</w:t>
      </w:r>
      <w:r>
        <w:t xml:space="preserve"> </w:t>
      </w:r>
      <w:r>
        <w:rPr>
          <w:rStyle w:val="VerbatimChar"/>
        </w:rPr>
        <w:t xml:space="preserve">studentAssessment</w:t>
      </w:r>
      <w:r>
        <w:t xml:space="preserve"> </w:t>
      </w:r>
      <w:r>
        <w:t xml:space="preserve">kèm trọng số/hạn nộp: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, và cờ nguy cơ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(đã qua hạn mà chưa nộp). Kết quả:</w:t>
      </w:r>
      <w:r>
        <w:t xml:space="preserve"> </w:t>
      </w:r>
      <w:r>
        <w:rPr>
          <w:b/>
          <w:bCs/>
        </w:rPr>
        <w:t xml:space="preserve">master_raw = 32.593 × 33 cột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src/data/build_master_table.py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01</w:t>
      </w:r>
      <w:r>
        <w:t xml:space="preserve">).</w:t>
      </w:r>
    </w:p>
    <w:bookmarkEnd w:id="11"/>
    <w:bookmarkStart w:id="12" w:name="làm-sạch-dữ-liệu"/>
    <w:p>
      <w:pPr>
        <w:pStyle w:val="Heading3"/>
      </w:pPr>
      <w:r>
        <w:t xml:space="preserve">3.4 Làm sạch dữ liệu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Trùng lặp:</w:t>
      </w:r>
      <w:r>
        <w:t xml:space="preserve"> </w:t>
      </w:r>
      <w:r>
        <w:t xml:space="preserve">0 khoá tổng hợp trùng sau</w:t>
      </w:r>
      <w:r>
        <w:t xml:space="preserve"> </w:t>
      </w:r>
      <w:r>
        <w:rPr>
          <w:rStyle w:val="VerbatimChar"/>
        </w:rPr>
        <w:t xml:space="preserve">drop_duplicates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Nhất quán:</w:t>
      </w:r>
      <w:r>
        <w:t xml:space="preserve"> </w:t>
      </w:r>
      <w:r>
        <w:t xml:space="preserve">nhãn phân loại được chuẩn hoá; số giá trị khớp từ điển dữ liệu (region 13, education 5, imd_band 10, age_band 3, gender/disability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Giá trị khuyết: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(1.111) →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; điểm khuyết do chưa nộp → 0 kèm cờ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(một</w:t>
      </w:r>
      <w:r>
        <w:t xml:space="preserve"> </w:t>
      </w:r>
      <w:r>
        <w:rPr>
          <w:i/>
          <w:iCs/>
        </w:rPr>
        <w:t xml:space="preserve">tín hiệu</w:t>
      </w:r>
      <w:r>
        <w:t xml:space="preserve">, không phải nhiễu);</w:t>
      </w:r>
      <w:r>
        <w:t xml:space="preserve"> </w:t>
      </w:r>
      <w:r>
        <w:rPr>
          <w:rStyle w:val="VerbatimChar"/>
        </w:rPr>
        <w:t xml:space="preserve">date_registration</w:t>
      </w:r>
      <w:r>
        <w:t xml:space="preserve"> </w:t>
      </w:r>
      <w:r>
        <w:t xml:space="preserve">(45) → trung vị train. Khoảng khuyết lớn duy nhất,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(22.521), là</w:t>
      </w:r>
      <w:r>
        <w:t xml:space="preserve"> </w:t>
      </w:r>
      <w:r>
        <w:rPr>
          <w:b/>
          <w:bCs/>
        </w:rPr>
        <w:t xml:space="preserve">bình thường</w:t>
      </w:r>
      <w:r>
        <w:t xml:space="preserve"> </w:t>
      </w:r>
      <w:r>
        <w:t xml:space="preserve">— đa số sinh viên không rút môn — và không dùng làm đặc trưng.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Ngoại lai:</w:t>
      </w:r>
      <w:r>
        <w:t xml:space="preserve"> </w:t>
      </w:r>
      <w:r>
        <w:t xml:space="preserve">đặc trưng clickstream lệch phải dùng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; còn lại dùng</w:t>
      </w:r>
      <w:r>
        <w:t xml:space="preserve"> </w:t>
      </w:r>
      <w:r>
        <w:rPr>
          <w:rStyle w:val="VerbatimChar"/>
        </w:rPr>
        <w:t xml:space="preserve">winsorize</w:t>
      </w:r>
      <w:r>
        <w:t xml:space="preserve">;</w:t>
      </w:r>
      <w:r>
        <w:t xml:space="preserve"> </w:t>
      </w:r>
      <w:r>
        <w:rPr>
          <w:b/>
          <w:bCs/>
        </w:rPr>
        <w:t xml:space="preserve">không loại bỏ dòng nào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docs/04_transformation/Preprocessing_Sequence</w:t>
      </w:r>
      <w:r>
        <w:t xml:space="preserve">).</w:t>
      </w:r>
    </w:p>
    <w:bookmarkEnd w:id="12"/>
    <w:bookmarkStart w:id="13" w:name="trích-đặc-trưng-theo-thời-gian"/>
    <w:p>
      <w:pPr>
        <w:pStyle w:val="Heading3"/>
      </w:pPr>
      <w:r>
        <w:t xml:space="preserve">3.5 Trích đặc trưng theo thời gian</w:t>
      </w:r>
    </w:p>
    <w:p>
      <w:pPr>
        <w:pStyle w:val="FirstParagraph"/>
      </w:pPr>
      <w:r>
        <w:t xml:space="preserve">Thời lượng các môn khác nhau, nên mỗi phần trăm tiến độ được quy đổi ra ngày cụ thể:</w:t>
      </w:r>
      <w:r>
        <w:t xml:space="preserve"> </w:t>
      </w:r>
      <w:r>
        <w:rPr>
          <w:rStyle w:val="VerbatimChar"/>
        </w:rPr>
        <w:t xml:space="preserve">cutoff_day = round(module_presentation_length × t / 100)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t ∈ {10,20,40,60,80,100}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data/checkpoint_map.csv</w:t>
      </w:r>
      <w:r>
        <w:t xml:space="preserve">, 22×6 dòng).</w:t>
      </w:r>
      <w:r>
        <w:t xml:space="preserve"> </w:t>
      </w:r>
      <w:r>
        <w:rPr>
          <w:rStyle w:val="VerbatimChar"/>
        </w:rPr>
        <w:t xml:space="preserve">cut_at_checkpoint()</w:t>
      </w:r>
      <w:r>
        <w:t xml:space="preserve"> </w:t>
      </w:r>
      <w:r>
        <w:t xml:space="preserve">chỉ giữ sự kiện tại hoặc trước ngày mốc, và pipeline hợp nhất được chạy lại cho từng mốc để tạo</w:t>
      </w:r>
      <w:r>
        <w:t xml:space="preserve"> </w:t>
      </w:r>
      <w:r>
        <w:rPr>
          <w:b/>
          <w:bCs/>
        </w:rPr>
        <w:t xml:space="preserve">sáu bộ dữ liệu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dataset_t10 … dataset_t100</w:t>
      </w:r>
      <w:r>
        <w:t xml:space="preserve">), mỗi bộ</w:t>
      </w:r>
      <w:r>
        <w:t xml:space="preserve"> </w:t>
      </w:r>
      <w:r>
        <w:rPr>
          <w:b/>
          <w:bCs/>
        </w:rPr>
        <w:t xml:space="preserve">32.593 dòng</w:t>
      </w:r>
      <w:r>
        <w:t xml:space="preserve"> </w:t>
      </w:r>
      <w:r>
        <w:t xml:space="preserve">dùng chung</w:t>
      </w:r>
      <w:r>
        <w:t xml:space="preserve"> </w:t>
      </w:r>
      <w:r>
        <w:rPr>
          <w:b/>
          <w:bCs/>
        </w:rPr>
        <w:t xml:space="preserve">một danh sách sinh viên</w:t>
      </w:r>
      <w:r>
        <w:t xml:space="preserve"> </w:t>
      </w:r>
      <w:r>
        <w:t xml:space="preserve">(Phương án A). Tỉ lệ at-risk cố định 52,8% qua các mốc (nhãn cố định); chỉ đặc trưng tương tác/kết quả thay đổi theo</w:t>
      </w:r>
      <w:r>
        <w:t xml:space="preserve"> </w:t>
      </w:r>
      <w:r>
        <w:rPr>
          <w:i/>
          <w:iCs/>
        </w:rPr>
        <w:t xml:space="preserve">t</w:t>
      </w:r>
      <w:r>
        <w:t xml:space="preserve">.</w:t>
      </w:r>
    </w:p>
    <w:bookmarkEnd w:id="13"/>
    <w:bookmarkStart w:id="14" w:name="phòng-tránh-rò-rỉ-và-phân-chia"/>
    <w:p>
      <w:pPr>
        <w:pStyle w:val="Heading3"/>
      </w:pPr>
      <w:r>
        <w:t xml:space="preserve">3.6 Phòng tránh rò rỉ và phân chia</w:t>
      </w:r>
    </w:p>
    <w:p>
      <w:pPr>
        <w:pStyle w:val="FirstParagraph"/>
      </w:pPr>
      <w:r>
        <w:t xml:space="preserve">Hai trục rò rỉ được kiểm soát. Trên trục</w:t>
      </w:r>
      <w:r>
        <w:t xml:space="preserve"> </w:t>
      </w:r>
      <w:r>
        <w:rPr>
          <w:b/>
          <w:bCs/>
        </w:rPr>
        <w:t xml:space="preserve">thời gian</w:t>
      </w:r>
      <w:r>
        <w:t xml:space="preserve">, ba quy tắc (loại bài nộp sau mốc; loại click sau mốc; giữ Withdrawn-trước-</w:t>
      </w:r>
      <w:r>
        <w:rPr>
          <w:i/>
          <w:iCs/>
        </w:rPr>
        <w:t xml:space="preserve">t</w:t>
      </w:r>
      <w:r>
        <w:t xml:space="preserve"> </w:t>
      </w:r>
      <w:r>
        <w:t xml:space="preserve">là at-risk) được nêu trong</w:t>
      </w:r>
      <w:r>
        <w:t xml:space="preserve"> </w:t>
      </w:r>
      <w:r>
        <w:rPr>
          <w:rStyle w:val="VerbatimChar"/>
        </w:rPr>
        <w:t xml:space="preserve">docs/03_cleaning/Leakage_Prevention_Rules</w:t>
      </w:r>
      <w:r>
        <w:t xml:space="preserve">. Trên trục</w:t>
      </w:r>
      <w:r>
        <w:t xml:space="preserve"> </w:t>
      </w:r>
      <w:r>
        <w:rPr>
          <w:b/>
          <w:bCs/>
        </w:rPr>
        <w:t xml:space="preserve">đặc trưng</w:t>
      </w:r>
      <w:r>
        <w:t xml:space="preserve">, trình tự</w:t>
      </w:r>
      <w:r>
        <w:t xml:space="preserve"> </w:t>
      </w:r>
      <w:r>
        <w:rPr>
          <w:b/>
          <w:bCs/>
        </w:rPr>
        <w:t xml:space="preserve">phân chia → điền khuyết → ngoại lai → mã hoá/chuẩn hoá → tái lấy mẫu</w:t>
      </w:r>
      <w:r>
        <w:t xml:space="preserve"> </w:t>
      </w:r>
      <w:r>
        <w:t xml:space="preserve">chỉ khớp mọi bộ học trên fold huấn luyện (</w:t>
      </w:r>
      <w:r>
        <w:rPr>
          <w:rStyle w:val="VerbatimChar"/>
        </w:rPr>
        <w:t xml:space="preserve">docs/04_transformation/Preprocessing_Sequence</w:t>
      </w:r>
      <w:r>
        <w:t xml:space="preserve">). Phân chia</w:t>
      </w:r>
      <w:r>
        <w:t xml:space="preserve"> </w:t>
      </w:r>
      <w:r>
        <w:rPr>
          <w:b/>
          <w:bCs/>
        </w:rPr>
        <w:t xml:space="preserve">bảo toàn nhóm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+ phân tầng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tập kiểm tra 20% cố định</w:t>
      </w:r>
      <w:r>
        <w:t xml:space="preserve"> </w:t>
      </w:r>
      <w:r>
        <w:t xml:space="preserve">dùng lại qua các mốc (</w:t>
      </w:r>
      <w:r>
        <w:rPr>
          <w:rStyle w:val="VerbatimChar"/>
        </w:rPr>
        <w:t xml:space="preserve">docs/05_splitting/Split_Strategy_Analysis</w:t>
      </w:r>
      <w:r>
        <w:t xml:space="preserve">): train ≈ 26.104 dòng, test ≈ 6.489 dòng,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, tỉ lệ lớp 0,53/0,52. CV trên tập huấn luyện dùng</w:t>
      </w:r>
      <w:r>
        <w:t xml:space="preserve"> </w:t>
      </w:r>
      <w:r>
        <w:rPr>
          <w:b/>
          <w:bCs/>
        </w:rPr>
        <w:t xml:space="preserve">5-fold × 5 seed</w:t>
      </w:r>
      <w:r>
        <w:t xml:space="preserve">; chỉ số chính là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trên lớp at-risk.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khẳng định toàn bộ:</w:t>
      </w:r>
      <w:r>
        <w:t xml:space="preserve"> </w:t>
      </w:r>
      <w:r>
        <w:rPr>
          <w:b/>
          <w:bCs/>
        </w:rPr>
        <w:t xml:space="preserve">16/16 kiểm thử đạt</w:t>
      </w:r>
      <w:r>
        <w:t xml:space="preserve">.</w:t>
      </w:r>
    </w:p>
    <w:bookmarkEnd w:id="14"/>
    <w:bookmarkStart w:id="15" w:name="khả-năng-tái-lập"/>
    <w:p>
      <w:pPr>
        <w:pStyle w:val="Heading3"/>
      </w:pPr>
      <w:r>
        <w:t xml:space="preserve">3.7 Khả năng tái lập</w:t>
      </w:r>
    </w:p>
    <w:p>
      <w:pPr>
        <w:pStyle w:val="FirstParagraph"/>
      </w:pPr>
      <w:r>
        <w:rPr>
          <w:rStyle w:val="VerbatimChar"/>
        </w:rPr>
        <w:t xml:space="preserve">RANDOM_SEED = 42</w:t>
      </w:r>
      <w:r>
        <w:t xml:space="preserve"> </w:t>
      </w:r>
      <w:r>
        <w:t xml:space="preserve">xuyên suốt; nguồn gốc trong</w:t>
      </w:r>
      <w:r>
        <w:t xml:space="preserve"> </w:t>
      </w:r>
      <w:r>
        <w:rPr>
          <w:rStyle w:val="VerbatimChar"/>
        </w:rPr>
        <w:t xml:space="preserve">data/data_manifest.txt</w:t>
      </w:r>
      <w:r>
        <w:t xml:space="preserve"> </w:t>
      </w:r>
      <w:r>
        <w:t xml:space="preserve">(MD5 + dung lượng + ngày); môi trường ghim trong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environment.yml</w:t>
      </w:r>
      <w:r>
        <w:t xml:space="preserve">; notebook chạy</w:t>
      </w:r>
      <w:r>
        <w:t xml:space="preserve"> </w:t>
      </w:r>
      <w:r>
        <w:rPr>
          <w:i/>
          <w:iCs/>
        </w:rPr>
        <w:t xml:space="preserve">Restart &amp; Run All</w:t>
      </w:r>
      <w:r>
        <w:t xml:space="preserve">; các bước dài có checkpoint/resume; ghi parquet nguyên tử. Quy trình đầy đủ trong</w:t>
      </w:r>
      <w:r>
        <w:t xml:space="preserve"> </w:t>
      </w:r>
      <w:r>
        <w:rPr>
          <w:rStyle w:val="VerbatimChar"/>
        </w:rPr>
        <w:t xml:space="preserve">docs/07_standards/Reproducibility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68" w:name="chương-4-phân-tích-khám-phá-dữ-liệu"/>
    <w:p>
      <w:pPr>
        <w:pStyle w:val="Heading2"/>
      </w:pPr>
      <w:r>
        <w:t xml:space="preserve">Chương 4 — Phân tích khám phá dữ liệu</w:t>
      </w:r>
    </w:p>
    <w:p>
      <w:pPr>
        <w:pStyle w:val="FirstParagraph"/>
      </w:pPr>
      <w:r>
        <w:t xml:space="preserve">Mọi so sánh đều có kiểm định thống kê phù hợp, không chỉ dựa vào cảm quan: kiểm định</w:t>
      </w:r>
      <w:r>
        <w:t xml:space="preserve"> </w:t>
      </w:r>
      <w:r>
        <w:rPr>
          <w:b/>
          <w:bCs/>
        </w:rPr>
        <w:t xml:space="preserve">Mann-Whitney U</w:t>
      </w:r>
      <w:r>
        <w:t xml:space="preserve"> </w:t>
      </w:r>
      <w:r>
        <w:t xml:space="preserve">(hiệu chỉnh Benjamini-Hochberg) kèm</w:t>
      </w:r>
      <w:r>
        <w:t xml:space="preserve"> </w:t>
      </w:r>
      <w:r>
        <w:rPr>
          <w:b/>
          <w:bCs/>
        </w:rPr>
        <w:t xml:space="preserve">Cohen’s d</w:t>
      </w:r>
      <w:r>
        <w:t xml:space="preserve"> </w:t>
      </w:r>
      <w:r>
        <w:t xml:space="preserve">cho biến định lượng;</w:t>
      </w:r>
      <w:r>
        <w:t xml:space="preserve"> </w:t>
      </w:r>
      <w:r>
        <w:rPr>
          <w:b/>
          <w:bCs/>
        </w:rPr>
        <w:t xml:space="preserve">chi-square</w:t>
      </w:r>
      <w:r>
        <w:t xml:space="preserve"> </w:t>
      </w:r>
      <w:r>
        <w:t xml:space="preserve">kèm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cho biến phân loại; tương quan Pearson/Spearman kèm kiểm tra rò rỉ. Biểu đồ tuân theo quy chuẩn (</w:t>
      </w:r>
      <w:r>
        <w:rPr>
          <w:rStyle w:val="VerbatimChar"/>
        </w:rPr>
        <w:t xml:space="preserve">docs/07_standards/Chart_Standards</w:t>
      </w:r>
      <w:r>
        <w:t xml:space="preserve">); mã phân tích là</w:t>
      </w:r>
      <w:r>
        <w:t xml:space="preserve"> </w:t>
      </w:r>
      <w:r>
        <w:rPr>
          <w:rStyle w:val="VerbatimChar"/>
        </w:rPr>
        <w:t xml:space="preserve">src/eda/eda.py</w:t>
      </w:r>
      <w:r>
        <w:t xml:space="preserve">, được thuyết minh trong notebook</w:t>
      </w:r>
      <w:r>
        <w:t xml:space="preserve"> </w:t>
      </w:r>
      <w:r>
        <w:rPr>
          <w:rStyle w:val="VerbatimChar"/>
        </w:rPr>
        <w:t xml:space="preserve">02</w:t>
      </w:r>
      <w:r>
        <w:t xml:space="preserve">, các bảng kết quả ở</w:t>
      </w:r>
      <w:r>
        <w:t xml:space="preserve"> </w:t>
      </w:r>
      <w:r>
        <w:rPr>
          <w:rStyle w:val="VerbatimChar"/>
        </w:rPr>
        <w:t xml:space="preserve">reports/tables/</w:t>
      </w:r>
      <w:r>
        <w:t xml:space="preserve">.</w:t>
      </w:r>
    </w:p>
    <w:bookmarkStart w:id="20" w:name="chất-lượng-dữ-liệu"/>
    <w:p>
      <w:pPr>
        <w:pStyle w:val="Heading3"/>
      </w:pPr>
      <w:r>
        <w:t xml:space="preserve">4.0 Chất lượng dữ liệu</w:t>
      </w:r>
    </w:p>
    <w:p>
      <w:pPr>
        <w:pStyle w:val="FirstParagraph"/>
      </w:pPr>
      <w:r>
        <w:t xml:space="preserve">Chỉ ba cột có khuyết: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(22.521 — thiếu mang tính cấu trúc với sinh viên không rút môn, không là đặc trưng),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(1.111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date_registration</w:t>
      </w:r>
      <w:r>
        <w:t xml:space="preserve"> </w:t>
      </w:r>
      <w:r>
        <w:t xml:space="preserve">(45 → trung vị train). Không cột đặc trưng nào thiếu đáng kể.</w:t>
      </w:r>
    </w:p>
    <w:p>
      <w:pPr>
        <w:pStyle w:val="CaptionedFigure"/>
      </w:pPr>
      <w:r>
        <w:drawing>
          <wp:inline>
            <wp:extent cx="5334000" cy="2687289"/>
            <wp:effectExtent b="0" l="0" r="0" t="0"/>
            <wp:docPr descr="Giá trị khuyết theo cột" title="" id="18" name="Picture"/>
            <a:graphic>
              <a:graphicData uri="http://schemas.openxmlformats.org/drawingml/2006/picture">
                <pic:pic>
                  <pic:nvPicPr>
                    <pic:cNvPr descr="figures/quality_missingne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Giá trị khuyết theo cột</w:t>
      </w:r>
    </w:p>
    <w:bookmarkEnd w:id="20"/>
    <w:bookmarkStart w:id="24" w:name="phân-phối-lớp-và-mất-cân-bằng-stt-27"/>
    <w:p>
      <w:pPr>
        <w:pStyle w:val="Heading3"/>
      </w:pPr>
      <w:r>
        <w:t xml:space="preserve">4.1 Phân phối lớp và mất cân bằng (STT 27)</w:t>
      </w:r>
    </w:p>
    <w:p>
      <w:pPr>
        <w:pStyle w:val="FirstParagraph"/>
      </w:pPr>
      <w:r>
        <w:t xml:space="preserve">Tỉ lệ at-risk quan sát được là</w:t>
      </w:r>
      <w:r>
        <w:t xml:space="preserve"> </w:t>
      </w:r>
      <w:r>
        <w:rPr>
          <w:b/>
          <w:bCs/>
        </w:rPr>
        <w:t xml:space="preserve">52,8%</w:t>
      </w:r>
      <w:r>
        <w:t xml:space="preserve"> </w:t>
      </w:r>
      <w:r>
        <w:t xml:space="preserve">(tỉ số mất cân bằng 1,12) — đa số nhẹ, không phải con số minh hoạ 68/32. Mất cân bằng là nhẹ (báo cáo trung thực; định hình RQ3); PR-AUC và recall trên lớp at-risk vẫn là chỉ số chính vì bỏ sót sinh viên nguy cơ là sai lầm tốn kém nhất.</w:t>
      </w:r>
    </w:p>
    <w:p>
      <w:pPr>
        <w:pStyle w:val="CaptionedFigure"/>
      </w:pPr>
      <w:r>
        <w:drawing>
          <wp:inline>
            <wp:extent cx="5334000" cy="2594110"/>
            <wp:effectExtent b="0" l="0" r="0" t="0"/>
            <wp:docPr descr="Phân phối biến mục tiêu và mất cân bằng" title="" id="22" name="Picture"/>
            <a:graphic>
              <a:graphicData uri="http://schemas.openxmlformats.org/drawingml/2006/picture">
                <pic:pic>
                  <pic:nvPicPr>
                    <pic:cNvPr descr="figures/target_distribu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phối biến mục tiêu và mất cân bằng</w:t>
      </w:r>
    </w:p>
    <w:bookmarkEnd w:id="24"/>
    <w:bookmarkStart w:id="34" w:name="mô-tả-đơn-biến-stt-28"/>
    <w:p>
      <w:pPr>
        <w:pStyle w:val="Heading3"/>
      </w:pPr>
      <w:r>
        <w:t xml:space="preserve">4.2 Mô tả đơn biến (STT 28)</w:t>
      </w:r>
    </w:p>
    <w:p>
      <w:pPr>
        <w:pStyle w:val="FirstParagraph"/>
      </w:pPr>
      <w:r>
        <w:t xml:space="preserve">Đặc trưng tương tác lệch phải mạnh và đuôi nặng —</w:t>
      </w:r>
      <w:r>
        <w:t xml:space="preserve"> </w:t>
      </w:r>
      <w:r>
        <w:rPr>
          <w:rStyle w:val="VerbatimChar"/>
        </w:rPr>
        <w:t xml:space="preserve">clicks_resource</w:t>
      </w:r>
      <w:r>
        <w:t xml:space="preserve"> </w:t>
      </w:r>
      <w:r>
        <w:t xml:space="preserve">(độ lệch ≈ 35, độ nhọn ≈ 2.125),</w:t>
      </w:r>
      <w:r>
        <w:t xml:space="preserve"> </w:t>
      </w:r>
      <w:r>
        <w:rPr>
          <w:rStyle w:val="VerbatimChar"/>
        </w:rPr>
        <w:t xml:space="preserve">clicks_url</w:t>
      </w:r>
      <w:r>
        <w:t xml:space="preserve"> </w:t>
      </w:r>
      <w:r>
        <w:t xml:space="preserve">(độ lệch ≈ 13),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 </w:t>
      </w:r>
      <w:r>
        <w:t xml:space="preserve">(độ lệch ≈ 11) — biện minh thực nghiệm cho phép biến đổi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ở bước làm sạch. Bảng đầy đủ (trung bình/trung vị/độ lệch chuẩn/tứ phân vị/skew/kurtosis):</w:t>
      </w:r>
      <w:r>
        <w:t xml:space="preserve"> </w:t>
      </w:r>
      <w:r>
        <w:rPr>
          <w:rStyle w:val="VerbatimChar"/>
        </w:rPr>
        <w:t xml:space="preserve">reports/tables/univariate_numeric.csv</w:t>
      </w:r>
      <w:r>
        <w:t xml:space="preserve">.</w:t>
      </w:r>
    </w:p>
    <w:p>
      <w:pPr>
        <w:pStyle w:val="BodyText"/>
      </w:pPr>
      <w:r>
        <w:drawing>
          <wp:inline>
            <wp:extent cx="5334000" cy="2402566"/>
            <wp:effectExtent b="0" l="0" r="0" t="0"/>
            <wp:docPr descr="Phân phối đơn biến (histogram + KDE), tô màu theo nhóm đặc trưng" title="" id="26" name="Picture"/>
            <a:graphic>
              <a:graphicData uri="http://schemas.openxmlformats.org/drawingml/2006/picture">
                <pic:pic>
                  <pic:nvPicPr>
                    <pic:cNvPr descr="figures/univariate_hist_k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70909"/>
            <wp:effectExtent b="0" l="0" r="0" t="0"/>
            <wp:docPr descr="Biểu đồ hộp đơn biến (soi ngoại lai theo IQR)" title="" id="29" name="Picture"/>
            <a:graphic>
              <a:graphicData uri="http://schemas.openxmlformats.org/drawingml/2006/picture">
                <pic:pic>
                  <pic:nvPicPr>
                    <pic:cNvPr descr="figures/univariate_boxplo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47799"/>
            <wp:effectExtent b="0" l="0" r="0" t="0"/>
            <wp:docPr descr="Phân phối tần suất biến phân loại" title="" id="32" name="Picture"/>
            <a:graphic>
              <a:graphicData uri="http://schemas.openxmlformats.org/drawingml/2006/picture">
                <pic:pic>
                  <pic:nvPicPr>
                    <pic:cNvPr descr="figures/univariate_categorical_freq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X86ba988438d9c9d9e966600b44d27f2c9e3bb38"/>
    <w:p>
      <w:pPr>
        <w:pStyle w:val="Heading3"/>
      </w:pPr>
      <w:r>
        <w:t xml:space="preserve">4.3 Song biến — biến định lượng với mục tiêu (STT 36)</w:t>
      </w:r>
    </w:p>
    <w:p>
      <w:pPr>
        <w:pStyle w:val="FirstParagraph"/>
      </w:pPr>
      <w:r>
        <w:t xml:space="preserve">Kiểm định Mann-Whitney U (hiệu chỉnh BH) cho thấy</w:t>
      </w:r>
      <w:r>
        <w:t xml:space="preserve"> </w:t>
      </w:r>
      <w:r>
        <w:rPr>
          <w:b/>
          <w:bCs/>
        </w:rPr>
        <w:t xml:space="preserve">cả 19 biến định lượng đều có ý nghĩa</w:t>
      </w:r>
      <w:r>
        <w:t xml:space="preserve"> </w:t>
      </w:r>
      <w:r>
        <w:t xml:space="preserve">(q &lt; 0,05) — điều dễ hiểu ở n ≈ 32.593 — nên</w:t>
      </w:r>
      <w:r>
        <w:t xml:space="preserve"> </w:t>
      </w:r>
      <w:r>
        <w:rPr>
          <w:b/>
          <w:bCs/>
        </w:rPr>
        <w:t xml:space="preserve">độ lớn hiệu ứng</w:t>
      </w:r>
      <w:r>
        <w:t xml:space="preserve">, không phải p-value, mới là yếu tố phân biệt. Xếp hạng theo |Cohen’s d|: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trưng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|Cohen’s d|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Tương tác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Tương tác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1,58</w:t>
            </w:r>
          </w:p>
        </w:tc>
      </w:tr>
    </w:tbl>
    <w:p>
      <w:pPr>
        <w:pStyle w:val="BodyText"/>
      </w:pPr>
      <w:r>
        <w:t xml:space="preserve">Hành vi và kết quả chiếm ưu thế; nhân khẩu học yếu nhất (</w:t>
      </w:r>
      <w:r>
        <w:rPr>
          <w:rStyle w:val="VerbatimChar"/>
        </w:rPr>
        <w:t xml:space="preserve">studied_credits</w:t>
      </w:r>
      <w:r>
        <w:t xml:space="preserve"> </w:t>
      </w:r>
      <w:r>
        <w:t xml:space="preserve">0,28,</w:t>
      </w:r>
      <w:r>
        <w:t xml:space="preserve"> </w:t>
      </w:r>
      <w:r>
        <w:rPr>
          <w:rStyle w:val="VerbatimChar"/>
        </w:rPr>
        <w:t xml:space="preserve">num_of_prev_attempts</w:t>
      </w:r>
      <w:r>
        <w:t xml:space="preserve"> </w:t>
      </w:r>
      <w:r>
        <w:t xml:space="preserve">0,21). Bảng kiểm định đầy đủ:</w:t>
      </w:r>
      <w:r>
        <w:t xml:space="preserve"> </w:t>
      </w:r>
      <w:r>
        <w:rPr>
          <w:rStyle w:val="VerbatimChar"/>
        </w:rPr>
        <w:t xml:space="preserve">reports/tables/bivariate_numeric_tests.csv</w:t>
      </w:r>
      <w:r>
        <w:t xml:space="preserve">.</w:t>
      </w:r>
    </w:p>
    <w:p>
      <w:pPr>
        <w:pStyle w:val="BodyText"/>
      </w:pPr>
      <w:r>
        <w:drawing>
          <wp:inline>
            <wp:extent cx="5334000" cy="3619910"/>
            <wp:effectExtent b="0" l="0" r="0" t="0"/>
            <wp:docPr descr="Sức phân biệt (|Cohen’s d|), tô màu theo nhóm đặc trưng" title="" id="36" name="Picture"/>
            <a:graphic>
              <a:graphicData uri="http://schemas.openxmlformats.org/drawingml/2006/picture">
                <pic:pic>
                  <pic:nvPicPr>
                    <pic:cNvPr descr="figures/bivariate_effect_siz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47878"/>
            <wp:effectExtent b="0" l="0" r="0" t="0"/>
            <wp:docPr descr="Sáu đặc trưng định lượng mạnh nhất phân theo lớp" title="" id="39" name="Picture"/>
            <a:graphic>
              <a:graphicData uri="http://schemas.openxmlformats.org/drawingml/2006/picture">
                <pic:pic>
                  <pic:nvPicPr>
                    <pic:cNvPr descr="figures/bivariate_top_boxplo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ong-biến-biến-phân-loại-với-mục-tiêu"/>
    <w:p>
      <w:pPr>
        <w:pStyle w:val="Heading3"/>
      </w:pPr>
      <w:r>
        <w:t xml:space="preserve">4.4 Song biến — biến phân loại với mục tiêu</w:t>
      </w:r>
    </w:p>
    <w:p>
      <w:pPr>
        <w:pStyle w:val="FirstParagraph"/>
      </w:pPr>
      <w:r>
        <w:t xml:space="preserve">Kiểm định chi-square có ý nghĩa, nhưng độ lớn hiệu ứng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đều nhỏ:</w:t>
      </w:r>
      <w:r>
        <w:t xml:space="preserve"> </w:t>
      </w:r>
      <w:r>
        <w:rPr>
          <w:rStyle w:val="VerbatimChar"/>
        </w:rPr>
        <w:t xml:space="preserve">highest_education</w:t>
      </w:r>
      <w:r>
        <w:t xml:space="preserve"> </w:t>
      </w:r>
      <w:r>
        <w:t xml:space="preserve">(0,15) và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(0,15) dẫn đầu, còn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(0,02) gần như không đáng kể. Nhân khẩu học mang tín hiệu độc lập hạn chế, nên giữ để phân tích công bằng hơn là dựa vào để dự đoán.</w:t>
      </w:r>
    </w:p>
    <w:p>
      <w:pPr>
        <w:pStyle w:val="CaptionedFigure"/>
      </w:pPr>
      <w:r>
        <w:drawing>
          <wp:inline>
            <wp:extent cx="5334000" cy="2973431"/>
            <wp:effectExtent b="0" l="0" r="0" t="0"/>
            <wp:docPr descr="Tỉ lệ at-risk theo từng mức biến phân loại (nét đứt = mức chung 52,8%)" title="" id="43" name="Picture"/>
            <a:graphic>
              <a:graphicData uri="http://schemas.openxmlformats.org/drawingml/2006/picture">
                <pic:pic>
                  <pic:nvPicPr>
                    <pic:cNvPr descr="figures/bivariate_categorical_rat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Tỉ lệ at-risk theo từng mức biến phân loại (nét đứt = mức chung 52,8%)</w:t>
      </w:r>
    </w:p>
    <w:bookmarkEnd w:id="45"/>
    <w:bookmarkStart w:id="55" w:name="Xfc55ce90d99cb853a44743a21cd49992887d1cf"/>
    <w:p>
      <w:pPr>
        <w:pStyle w:val="Heading3"/>
      </w:pPr>
      <w:r>
        <w:t xml:space="preserve">4.5 Đa biến — tương quan, đa cộng tuyến, rò rỉ (STT 37)</w:t>
      </w:r>
    </w:p>
    <w:p>
      <w:pPr>
        <w:pStyle w:val="FirstParagraph"/>
      </w:pPr>
      <w:r>
        <w:t xml:space="preserve">Pearson và Spearman nhất quán về cấu trúc. Hai cặp đa cộng tuyến (|r| ≥ 0,8):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–</w:t>
      </w:r>
      <w:r>
        <w:rPr>
          <w:rStyle w:val="VerbatimChar"/>
        </w:rPr>
        <w:t xml:space="preserve">total_clicks</w:t>
      </w:r>
      <w:r>
        <w:t xml:space="preserve"> </w:t>
      </w:r>
      <w:r>
        <w:t xml:space="preserve">(0,84) và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–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(−0,83) — liên quan đến độ ổn định giải thích (RQ2). Tương quan mạnh nhất với mục tiêu: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(0,78),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(0,72),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(0,71).</w:t>
      </w:r>
      <w:r>
        <w:t xml:space="preserve"> </w:t>
      </w:r>
      <w:r>
        <w:rPr>
          <w:b/>
          <w:bCs/>
        </w:rPr>
        <w:t xml:space="preserve">Không đặc trưng nào tương quan ≥ 0,95 với mục tiêu</w:t>
      </w:r>
      <w:r>
        <w:t xml:space="preserve">, nên không có đặc trưng đại diện rò rỉ.</w:t>
      </w:r>
    </w:p>
    <w:p>
      <w:pPr>
        <w:pStyle w:val="BodyText"/>
      </w:pPr>
      <w:r>
        <w:drawing>
          <wp:inline>
            <wp:extent cx="5334000" cy="4641828"/>
            <wp:effectExtent b="0" l="0" r="0" t="0"/>
            <wp:docPr descr="Ma trận tương quan Pearson" title="" id="47" name="Picture"/>
            <a:graphic>
              <a:graphicData uri="http://schemas.openxmlformats.org/drawingml/2006/picture">
                <pic:pic>
                  <pic:nvPicPr>
                    <pic:cNvPr descr="figures/corr_pears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41828"/>
            <wp:effectExtent b="0" l="0" r="0" t="0"/>
            <wp:docPr descr="Ma trận tương quan Spearman" title="" id="50" name="Picture"/>
            <a:graphic>
              <a:graphicData uri="http://schemas.openxmlformats.org/drawingml/2006/picture">
                <pic:pic>
                  <pic:nvPicPr>
                    <pic:cNvPr descr="figures/corr_spearma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63962"/>
            <wp:effectExtent b="0" l="0" r="0" t="0"/>
            <wp:docPr descr="Tương quan của đặc trưng với mục tiêu" title="" id="53" name="Picture"/>
            <a:graphic>
              <a:graphicData uri="http://schemas.openxmlformats.org/drawingml/2006/picture">
                <pic:pic>
                  <pic:nvPicPr>
                    <pic:cNvPr descr="figures/corr_with_targ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Xd193ab207e76030f76d636a9c37e10eda7d3f5d"/>
    <w:p>
      <w:pPr>
        <w:pStyle w:val="Heading3"/>
      </w:pPr>
      <w:r>
        <w:t xml:space="preserve">4.6 Phân tích theo thời gian — tín hiệu xuất hiện khi nào? (STT 38, RQ1)</w:t>
      </w:r>
    </w:p>
    <w:p>
      <w:pPr>
        <w:pStyle w:val="FirstParagraph"/>
      </w:pPr>
      <w:r>
        <w:t xml:space="preserve">Theo dõi</w:t>
      </w:r>
      <w:r>
        <w:t xml:space="preserve"> </w:t>
      </w:r>
      <w:r>
        <w:rPr>
          <w:b/>
          <w:bCs/>
        </w:rPr>
        <w:t xml:space="preserve">|Cohen’s d| theo từng mốc</w:t>
      </w:r>
      <w:r>
        <w:t xml:space="preserve"> </w:t>
      </w:r>
      <w:r>
        <w:t xml:space="preserve">cho thấy sức phân biệt giữa hai lớp tăng dần theo tiến độ.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 </w:t>
      </w:r>
      <w:r>
        <w:t xml:space="preserve">đã vượt ngưỡng hiệu ứng lớn (d ≥ 0,8) ngay tại</w:t>
      </w:r>
      <w:r>
        <w:t xml:space="preserve"> </w:t>
      </w:r>
      <w:r>
        <w:rPr>
          <w:b/>
          <w:bCs/>
        </w:rPr>
        <w:t xml:space="preserve">t = 10%</w:t>
      </w:r>
      <w:r>
        <w:t xml:space="preserve">; các đặc trưng điểm và nộp bài vượt ngưỡng tại</w:t>
      </w:r>
      <w:r>
        <w:t xml:space="preserve"> </w:t>
      </w:r>
      <w:r>
        <w:rPr>
          <w:b/>
          <w:bCs/>
        </w:rPr>
        <w:t xml:space="preserve">t = 20%</w:t>
      </w:r>
      <w:r>
        <w:t xml:space="preserve">;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tại</w:t>
      </w:r>
      <w:r>
        <w:t xml:space="preserve"> </w:t>
      </w:r>
      <w:r>
        <w:rPr>
          <w:b/>
          <w:bCs/>
        </w:rPr>
        <w:t xml:space="preserve">t = 40%</w:t>
      </w:r>
      <w:r>
        <w:t xml:space="preserve">. Tín hiệu hành vi do đó khả dụng từ ~20–40% thời lượng khoá học.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trưng</w:t>
            </w:r>
          </w:p>
        </w:tc>
        <w:tc>
          <w:tcPr/>
          <w:p>
            <w:pPr>
              <w:pStyle w:val="Compact"/>
            </w:pPr>
            <w:r>
              <w:t xml:space="preserve">mốc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sớm nhất có |d| ≥ 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mean_score_to_date · n_assessments_submitted · weighted_score_to_date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pPr>
        <w:pStyle w:val="BodyText"/>
      </w:pPr>
      <w:r>
        <w:drawing>
          <wp:inline>
            <wp:extent cx="5334000" cy="1511968"/>
            <wp:effectExtent b="0" l="0" r="0" t="0"/>
            <wp:docPr descr="Quỹ đạo trung bình đặc trưng theo lớp qua các mốc" title="" id="57" name="Picture"/>
            <a:graphic>
              <a:graphicData uri="http://schemas.openxmlformats.org/drawingml/2006/picture">
                <pic:pic>
                  <pic:nvPicPr>
                    <pic:cNvPr descr="figures/time_mean_trajector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14255"/>
            <wp:effectExtent b="0" l="0" r="0" t="0"/>
            <wp:docPr descr="Sức phân biệt tăng dần qua các mốc (RQ1)" title="" id="60" name="Picture"/>
            <a:graphic>
              <a:graphicData uri="http://schemas.openxmlformats.org/drawingml/2006/picture">
                <pic:pic>
                  <pic:nvPicPr>
                    <pic:cNvPr descr="figures/time_discrimination_curv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X72b49e204c6f711c4d0cee2374d909ce13fc0dd"/>
    <w:p>
      <w:pPr>
        <w:pStyle w:val="Heading3"/>
      </w:pPr>
      <w:r>
        <w:t xml:space="preserve">4.7 Tín hiệu cảnh báo sớm của sinh viên Withdrawn (Phương án A)</w:t>
      </w:r>
    </w:p>
    <w:p>
      <w:pPr>
        <w:pStyle w:val="FirstParagraph"/>
      </w:pPr>
      <w:r>
        <w:t xml:space="preserve">Dữ liệu xác nhận tiền đề của Phương án A rằng việc rút môn tạo ra tín hiệu thật chứ không phải nhiễu: trung vị số ngày không hoạt động là</w:t>
      </w:r>
      <w:r>
        <w:t xml:space="preserve"> </w:t>
      </w:r>
      <w:r>
        <w:rPr>
          <w:b/>
          <w:bCs/>
        </w:rPr>
        <w:t xml:space="preserve">11 ngày với not-at-risk, 116 với Fail, và 233 với Withdrawn</w:t>
      </w:r>
      <w:r>
        <w:t xml:space="preserve">, còn trung vị tổng click giảm từ</w:t>
      </w:r>
      <w:r>
        <w:t xml:space="preserve"> </w:t>
      </w:r>
      <w:r>
        <w:rPr>
          <w:b/>
          <w:bCs/>
        </w:rPr>
        <w:t xml:space="preserve">1.425 (not-at-risk) xuống 89 (Withdrawn)</w:t>
      </w:r>
      <w:r>
        <w:t xml:space="preserve">. Sự sụp đổ hoạt động của sinh viên rút môn chính là điều khiến phát hiện sớm khả thi.</w:t>
      </w:r>
    </w:p>
    <w:p>
      <w:pPr>
        <w:pStyle w:val="CaptionedFigure"/>
      </w:pPr>
      <w:r>
        <w:drawing>
          <wp:inline>
            <wp:extent cx="5334000" cy="2298192"/>
            <wp:effectExtent b="0" l="0" r="0" t="0"/>
            <wp:docPr descr="Sinh viên Withdrawn: tín hiệu suy giảm hoạt động" title="" id="64" name="Picture"/>
            <a:graphic>
              <a:graphicData uri="http://schemas.openxmlformats.org/drawingml/2006/picture">
                <pic:pic>
                  <pic:nvPicPr>
                    <pic:cNvPr descr="figures/withdrawn_activity_deca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Sinh viên Withdrawn: tín hiệu suy giảm hoạt động</w:t>
      </w:r>
    </w:p>
    <w:bookmarkEnd w:id="66"/>
    <w:bookmarkStart w:id="67" w:name="phát-hiện-và-hàm-ý-cho-mô-hình-hoá"/>
    <w:p>
      <w:pPr>
        <w:pStyle w:val="Heading3"/>
      </w:pPr>
      <w:r>
        <w:t xml:space="preserve">4.8 Phát hiện và hàm ý cho mô hình hoá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 (RQ1) — tín hiệu sớm và tăng dần.</w:t>
      </w:r>
      <w:r>
        <w:t xml:space="preserve"> </w:t>
      </w:r>
      <w:r>
        <w:t xml:space="preserve">Đặc trưng hành vi/kết quả phân biệt hai lớp từ t = 10–20% và mạnh dần đơn điệu; 40–60% là vùng ổn định, khả thi (nhất quán với Adnan và cộng sự [1]).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F2 (RQ1/RQ2) — hành vi ≫ nhân khẩu học.</w:t>
      </w:r>
      <w:r>
        <w:t xml:space="preserve"> </w:t>
      </w:r>
      <w:r>
        <w:t xml:space="preserve">Tương tác/kết quả đạt d &gt; 2 trong khi liên hệ nhân khẩu học nhỏ (Cramér’s V ≤ 0,15), tái hiện Tomasevic và cộng sự [2]; SHAP/LIME được kỳ vọng xếp hạng đặc trưng hành vi cao nhất.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F3 (RQ3) — mất cân bằng nhẹ.</w:t>
      </w:r>
      <w:r>
        <w:t xml:space="preserve"> </w:t>
      </w:r>
      <w:r>
        <w:t xml:space="preserve">Ở mức 52,8% at-risk, tái lấy mẫu có thể cải thiện ít; RQ3 định lượng SMOTE/ADASYN/class-weight so với mốc cơ sở bằng PR-AUC/recall.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F4 (RQ2) — đặc trưng tương quan cao.</w:t>
      </w:r>
      <w:r>
        <w:t xml:space="preserve"> </w:t>
      </w:r>
      <w:r>
        <w:t xml:space="preserve">Các đặc trưng tương tác đa cộng tuyến có thể làm độ quan trọng giải thích kém ổn định — yếu tố mà chỉ số ổn định phải tính đến.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F5 — không rò rỉ.</w:t>
      </w:r>
      <w:r>
        <w:t xml:space="preserve"> </w:t>
      </w:r>
      <w:r>
        <w:t xml:space="preserve">Không đặc trưng nào tương quan gần như hoàn hảo với nhãn, và phép cắt theo thời gian loại bỏ sự kiện tương lai; ước lượng trên tập kiểm tra do đó đáng tin cậy.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ài-liệu-tham-khảo"/>
    <w:p>
      <w:pPr>
        <w:pStyle w:val="Heading2"/>
      </w:pPr>
      <w:r>
        <w:t xml:space="preserve">Tài liệu tham khảo</w:t>
      </w:r>
    </w:p>
    <w:p>
      <w:pPr>
        <w:pStyle w:val="Compact"/>
        <w:numPr>
          <w:ilvl w:val="0"/>
          <w:numId w:val="1003"/>
        </w:numPr>
      </w:pPr>
      <w:r>
        <w:t xml:space="preserve">M. Adnan và cộng sự,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tr. 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3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p>
      <w:pPr>
        <w:pStyle w:val="Compact"/>
        <w:numPr>
          <w:ilvl w:val="0"/>
          <w:numId w:val="1003"/>
        </w:numPr>
      </w:pPr>
      <w:r>
        <w:t xml:space="preserve">S. Gunasekara, M. Saarela,</w:t>
      </w:r>
      <w:r>
        <w:t xml:space="preserve"> </w:t>
      </w:r>
      <w:r>
        <w:t xml:space="preserve">“Explainable AI in Education: Techniques and Qualitative Assessment,”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2025.</w:t>
      </w:r>
    </w:p>
    <w:p>
      <w:pPr>
        <w:pStyle w:val="Compact"/>
        <w:numPr>
          <w:ilvl w:val="0"/>
          <w:numId w:val="1003"/>
        </w:numPr>
      </w:pPr>
      <w:r>
        <w:t xml:space="preserve">N. V. Chawla và cộng sự,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JAIR</w:t>
      </w:r>
      <w:r>
        <w:t xml:space="preserve">, 2002.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2026-06-14T16:36:34Z</dcterms:created>
  <dcterms:modified xsi:type="dcterms:W3CDTF">2026-06-14T16:36:34Z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