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Habib, A., Ashraf, J., Mussadiq, S., Raza, A. A., Abid, M., Nawaz, M., &amp; Khan, S. U. (2021). Predicting at-Risk Students at Different Percentages of Course Length for Early Intervention Using Machine Learning Models.</w:t>
      </w:r>
      <w:r>
        <w:t xml:space="preserve"> </w:t>
      </w:r>
      <w:r>
        <w:rPr>
          <w:i/>
          <w:iCs/>
        </w:rPr>
        <w:t xml:space="preserve">IEEE Access</w:t>
      </w:r>
      <w:r>
        <w:t xml:space="preserve">, 9, 7519–7539.</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N., &amp; Saarela, M. (2025). Explainable AI in Education: Techniques and Qualitative Assessment.</w:t>
      </w:r>
      <w:r>
        <w:t xml:space="preserve"> </w:t>
      </w:r>
      <w:r>
        <w:rPr>
          <w:i/>
          <w:iCs/>
        </w:rPr>
        <w:t xml:space="preserve">Applied Sciences</w:t>
      </w:r>
      <w:r>
        <w:t xml:space="preserve">, 15(1), 1–28.</w:t>
      </w:r>
    </w:p>
    <w:p>
      <w:pPr>
        <w:pStyle w:val="BodyText"/>
      </w:pPr>
      <w:r>
        <w:t xml:space="preserve">[5] Anonymous (2023). VLE Clickstream Aggregation for Student Engagement Prediction using OULAD.</w:t>
      </w:r>
      <w:r>
        <w:t xml:space="preserve"> </w:t>
      </w:r>
      <w:r>
        <w:rPr>
          <w:i/>
          <w:iCs/>
        </w:rPr>
        <w:t xml:space="preserve">(Manuscript / internal reference — full citation to be confirmed by the team.)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2026-06-14T15:35:30Z</dcterms:created>
  <dcterms:modified xsi:type="dcterms:W3CDTF">2026-06-14T15:35:30Z</dcterms:modified>
</cp:coreProperties>
</file>

<file path=docProps/custom.xml><?xml version="1.0" encoding="utf-8"?>
<Properties xmlns="http://schemas.openxmlformats.org/officeDocument/2006/custom-properties" xmlns:vt="http://schemas.openxmlformats.org/officeDocument/2006/docPropsVTypes"/>
</file>