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dc3fb6495ff169f6f5e2d648ee721e9b1232940"/>
    <w:p>
      <w:pPr>
        <w:pStyle w:val="Heading1"/>
      </w:pPr>
      <w:r>
        <w:t xml:space="preserve">Data Splitting Strategy: Analysis and Selection</w:t>
      </w:r>
    </w:p>
    <w:p>
      <w:pPr>
        <w:pStyle w:val="FirstParagraph"/>
      </w:pPr>
      <w:r>
        <w:rPr>
          <w:i/>
          <w:iCs/>
        </w:rPr>
        <w:t xml:space="preserve">Comparing splitting strategies and justifying the design for time-aware, imbalanced, grouped data</w:t>
      </w:r>
    </w:p>
    <w:p>
      <w:pPr>
        <w:pStyle w:val="BodyText"/>
      </w:pPr>
      <w:r>
        <w:rPr>
          <w:b/>
          <w:bCs/>
        </w:rPr>
        <w:t xml:space="preserve">DSP391m – Group 1 · Report 2 (Data Tasks), Chapter 3 · Work item STT 21 (Duc)</w:t>
      </w:r>
    </w:p>
    <w:p>
      <w:r>
        <w:pict>
          <v:rect style="width:0;height:1.5pt" o:hralign="center" o:hrstd="t" o:hr="t"/>
        </w:pict>
      </w:r>
    </w:p>
    <w:bookmarkStart w:id="9" w:name="why-the-split-needs-care-here"/>
    <w:p>
      <w:pPr>
        <w:pStyle w:val="Heading2"/>
      </w:pPr>
      <w:r>
        <w:t xml:space="preserve">1. Why the split needs care here</w:t>
      </w:r>
    </w:p>
    <w:p>
      <w:pPr>
        <w:pStyle w:val="FirstParagraph"/>
      </w:pPr>
      <w:r>
        <w:t xml:space="preserve">Three properties of the data constrain the split: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Grouped</w:t>
      </w:r>
      <w:r>
        <w:t xml:space="preserve"> </w:t>
      </w:r>
      <w:r>
        <w:t xml:space="preserve">— a student (</w:t>
      </w:r>
      <w:r>
        <w:rPr>
          <w:rStyle w:val="VerbatimChar"/>
        </w:rPr>
        <w:t xml:space="preserve">id_student</w:t>
      </w:r>
      <w:r>
        <w:t xml:space="preserve">) can appear in several module-presentations, so rows are not independent. A naive row split can place the same student in train and test (</w:t>
      </w:r>
      <w:r>
        <w:rPr>
          <w:i/>
          <w:iCs/>
        </w:rPr>
        <w:t xml:space="preserve">group leakage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Imbalanced (mildly)</w:t>
      </w:r>
      <w:r>
        <w:t xml:space="preserve"> </w:t>
      </w:r>
      <w:r>
        <w:t xml:space="preserve">— the at-risk class is ~52.8%; a random split can still drift the test-set ratio and bias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Time-aware</w:t>
      </w:r>
      <w:r>
        <w:t xml:space="preserve"> </w:t>
      </w:r>
      <w:r>
        <w:t xml:space="preserve">— six checkpoints share one comparison axis (RQ1), so the test set 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across checkpoints or the performance curve is not comparable.</w:t>
      </w:r>
    </w:p>
    <w:bookmarkEnd w:id="9"/>
    <w:bookmarkStart w:id="10" w:name="strategies-compared"/>
    <w:p>
      <w:pPr>
        <w:pStyle w:val="Heading2"/>
      </w:pPr>
      <w:r>
        <w:t xml:space="preserve">2. Strategies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hold-out</w:t>
            </w:r>
          </w:p>
        </w:tc>
        <w:tc>
          <w:tcPr/>
          <w:p>
            <w:pPr>
              <w:pStyle w:val="Compact"/>
            </w:pPr>
            <w:r>
              <w:t xml:space="preserve">One train/test cut</w:t>
            </w:r>
          </w:p>
        </w:tc>
        <w:tc>
          <w:tcPr/>
          <w:p>
            <w:pPr>
              <w:pStyle w:val="Compact"/>
            </w:pPr>
            <w:r>
              <w:t xml:space="preserve">Simple, fast</w:t>
            </w:r>
          </w:p>
        </w:tc>
        <w:tc>
          <w:tcPr/>
          <w:p>
            <w:pPr>
              <w:pStyle w:val="Compact"/>
            </w:pPr>
            <w:r>
              <w:t xml:space="preserve">High variance; depends on one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k-fold CV</w:t>
            </w:r>
          </w:p>
        </w:tc>
        <w:tc>
          <w:tcPr/>
          <w:p>
            <w:pPr>
              <w:pStyle w:val="Compact"/>
            </w:pPr>
            <w:r>
              <w:t xml:space="preserve">k rotating validation folds</w:t>
            </w:r>
          </w:p>
        </w:tc>
        <w:tc>
          <w:tcPr/>
          <w:p>
            <w:pPr>
              <w:pStyle w:val="Compact"/>
            </w:pPr>
            <w:r>
              <w:t xml:space="preserve">Uses all data; lower variance</w:t>
            </w:r>
          </w:p>
        </w:tc>
        <w:tc>
          <w:tcPr/>
          <w:p>
            <w:pPr>
              <w:pStyle w:val="Compact"/>
            </w:pPr>
            <w:r>
              <w:t xml:space="preserve">k× cost; single seed still partition-dependent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k-fold</w:t>
            </w:r>
          </w:p>
        </w:tc>
        <w:tc>
          <w:tcPr/>
          <w:p>
            <w:pPr>
              <w:pStyle w:val="Compact"/>
            </w:pPr>
            <w:r>
              <w:t xml:space="preserve">k-fold repeated over several seeds</w:t>
            </w:r>
          </w:p>
        </w:tc>
        <w:tc>
          <w:tcPr/>
          <w:p>
            <w:pPr>
              <w:pStyle w:val="Compact"/>
            </w:pPr>
            <w:r>
              <w:t xml:space="preserve">Robust mean ± std; seed-independent</w:t>
            </w:r>
          </w:p>
        </w:tc>
        <w:tc>
          <w:tcPr/>
          <w:p>
            <w:pPr>
              <w:pStyle w:val="Compact"/>
            </w:pPr>
            <w:r>
              <w:t xml:space="preserve">Highest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CV</w:t>
            </w:r>
          </w:p>
        </w:tc>
        <w:tc>
          <w:tcPr/>
          <w:p>
            <w:pPr>
              <w:pStyle w:val="Compact"/>
            </w:pPr>
            <w:r>
              <w:t xml:space="preserve">Inner CV for tuning, outer for estimate</w:t>
            </w:r>
          </w:p>
        </w:tc>
        <w:tc>
          <w:tcPr/>
          <w:p>
            <w:pPr>
              <w:pStyle w:val="Compact"/>
            </w:pPr>
            <w:r>
              <w:t xml:space="preserve">Unbiased estimate with tuning</w:t>
            </w:r>
          </w:p>
        </w:tc>
        <w:tc>
          <w:tcPr/>
          <w:p>
            <w:pPr>
              <w:pStyle w:val="Compact"/>
            </w:pPr>
            <w:r>
              <w:t xml:space="preserve">Very expensive; complex</w:t>
            </w:r>
          </w:p>
        </w:tc>
      </w:tr>
    </w:tbl>
    <w:bookmarkEnd w:id="10"/>
    <w:bookmarkStart w:id="11" w:name="selected-design-per-the-proposal"/>
    <w:p>
      <w:pPr>
        <w:pStyle w:val="Heading2"/>
      </w:pPr>
      <w:r>
        <w:t xml:space="preserve">3. Selected design (per the proposal)</w:t>
      </w:r>
    </w:p>
    <w:p>
      <w:pPr>
        <w:pStyle w:val="FirstParagraph"/>
      </w:pPr>
      <w:r>
        <w:rPr>
          <w:b/>
          <w:bCs/>
        </w:rPr>
        <w:t xml:space="preserve">Hold-out 20% test set + 5-fold cross-validation repeated over 5 seeds on the training set.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20% test set is fixed once</w:t>
      </w:r>
      <w:r>
        <w:t xml:space="preserve">, by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, and reused at every checkpoint (STT 8) so the six points are comparable.</w:t>
      </w:r>
    </w:p>
    <w:p>
      <w:pPr>
        <w:pStyle w:val="Compact"/>
        <w:numPr>
          <w:ilvl w:val="0"/>
          <w:numId w:val="1002"/>
        </w:numPr>
      </w:pPr>
      <w:r>
        <w:t xml:space="preserve">On the remaining 80%,</w:t>
      </w:r>
      <w:r>
        <w:t xml:space="preserve"> </w:t>
      </w:r>
      <w:r>
        <w:rPr>
          <w:b/>
          <w:bCs/>
        </w:rPr>
        <w:t xml:space="preserve">5-fold × 5-seed</w:t>
      </w:r>
      <w:r>
        <w:t xml:space="preserve"> </w:t>
      </w:r>
      <w:r>
        <w:t xml:space="preserve">CV reduces variance from any single partition; metrics are reported as</w:t>
      </w:r>
      <w:r>
        <w:t xml:space="preserve"> </w:t>
      </w:r>
      <w:r>
        <w:rPr>
          <w:b/>
          <w:bCs/>
        </w:rPr>
        <w:t xml:space="preserve">mean ± standard deviation</w:t>
      </w:r>
      <w:r>
        <w:t xml:space="preserve"> </w:t>
      </w:r>
      <w:r>
        <w:t xml:space="preserve">across the 25 fits.</w:t>
      </w:r>
    </w:p>
    <w:p>
      <w:pPr>
        <w:pStyle w:val="Compact"/>
        <w:numPr>
          <w:ilvl w:val="0"/>
          <w:numId w:val="1002"/>
        </w:numPr>
      </w:pPr>
      <w:r>
        <w:t xml:space="preserve">Both the test split and the CV folds are</w:t>
      </w:r>
      <w:r>
        <w:t xml:space="preserve"> </w:t>
      </w:r>
      <w:r>
        <w:rPr>
          <w:b/>
          <w:bCs/>
        </w:rPr>
        <w:t xml:space="preserve">group-aware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id_student</w:t>
      </w:r>
      <w:r>
        <w:rPr>
          <w:b/>
          <w:bCs/>
        </w:rPr>
        <w:t xml:space="preserve">) and stratified (by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at_risk</w:t>
      </w:r>
      <w:r>
        <w:rPr>
          <w:b/>
          <w:bCs/>
        </w:rPr>
        <w:t xml:space="preserve">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StratifiedGroupKFold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src/evaluation/split_harness.py</w:t>
      </w:r>
      <w:r>
        <w:t xml:space="preserve">).</w:t>
      </w:r>
    </w:p>
    <w:p>
      <w:pPr>
        <w:pStyle w:val="FirstParagraph"/>
      </w:pPr>
      <w:r>
        <w:t xml:space="preserve">This balances robustness and cost: repeated k-fold gives stable estimates, while a single fixed hold-out test set preserves comparability across checkpoints. Nested CV was judged unnecessarily expensive for the planned scope.</w:t>
      </w:r>
    </w:p>
    <w:bookmarkEnd w:id="11"/>
    <w:bookmarkStart w:id="12" w:name="reporting-convention"/>
    <w:p>
      <w:pPr>
        <w:pStyle w:val="Heading2"/>
      </w:pPr>
      <w:r>
        <w:t xml:space="preserve">4. Reporting convention</w:t>
      </w:r>
    </w:p>
    <w:p>
      <w:pPr>
        <w:pStyle w:val="FirstParagraph"/>
      </w:pPr>
      <w:r>
        <w:t xml:space="preserve">Because the positive (at-risk) class is the one we must not miss, headline metrics are</w:t>
      </w:r>
      <w:r>
        <w:t xml:space="preserve"> </w:t>
      </w:r>
      <w:r>
        <w:rPr>
          <w:b/>
          <w:bCs/>
        </w:rPr>
        <w:t xml:space="preserve">PR-AUC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recall on the at-risk class</w:t>
      </w:r>
      <w:r>
        <w:t xml:space="preserve">, reported as</w:t>
      </w:r>
      <w:r>
        <w:t xml:space="preserve"> </w:t>
      </w:r>
      <w:r>
        <w:rPr>
          <w:b/>
          <w:bCs/>
        </w:rPr>
        <w:t xml:space="preserve">mean ± std</w:t>
      </w:r>
      <w:r>
        <w:t xml:space="preserve"> </w:t>
      </w:r>
      <w:r>
        <w:t xml:space="preserve">over folds/seeds. Accuracy is reported only as a secondary figure (it is misleading under any imbalance).</w:t>
      </w:r>
    </w:p>
    <w:bookmarkEnd w:id="12"/>
    <w:bookmarkStart w:id="13" w:name="verified-properties-this-dataset"/>
    <w:p>
      <w:pPr>
        <w:pStyle w:val="Heading2"/>
      </w:pPr>
      <w:r>
        <w:t xml:space="preserve">5. Verified properties (this dataset)</w:t>
      </w:r>
    </w:p>
    <w:p>
      <w:pPr>
        <w:pStyle w:val="FirstParagraph"/>
      </w:pPr>
      <w:r>
        <w:t xml:space="preserve">Using the fixed 20% split on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(32,593 rows):</w:t>
      </w:r>
      <w:r>
        <w:t xml:space="preserve"> </w:t>
      </w:r>
      <w:r>
        <w:rPr>
          <w:b/>
          <w:bCs/>
        </w:rPr>
        <w:t xml:space="preserve">0 students overlap</w:t>
      </w:r>
      <w:r>
        <w:t xml:space="preserve"> </w:t>
      </w:r>
      <w:r>
        <w:t xml:space="preserve">between train and test, and the at-risk rate is preserved (train ≈ 0.53, test ≈ 0.52, gap ≤ 0.02). These checks are asserted in</w:t>
      </w:r>
      <w:r>
        <w:t xml:space="preserve"> </w:t>
      </w:r>
      <w:r>
        <w:rPr>
          <w:rStyle w:val="VerbatimChar"/>
        </w:rPr>
        <w:t xml:space="preserve">tests/test_leakage.py</w:t>
      </w:r>
      <w:r>
        <w:t xml:space="preserve">.</w:t>
      </w:r>
    </w:p>
    <w:bookmarkEnd w:id="13"/>
    <w:bookmarkStart w:id="1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M. Adnan et al.,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vol. 9, pp. 7519–7539, 2021.</w:t>
      </w:r>
    </w:p>
    <w:p>
      <w:pPr>
        <w:pStyle w:val="Compact"/>
        <w:numPr>
          <w:ilvl w:val="0"/>
          <w:numId w:val="1003"/>
        </w:numPr>
      </w:pPr>
      <w:r>
        <w:t xml:space="preserve">N. Tomasevic, N. Gvozdenovic, S. Vranes,</w:t>
      </w:r>
      <w:r>
        <w:t xml:space="preserve"> </w:t>
      </w:r>
      <w:r>
        <w:rPr>
          <w:i/>
          <w:iCs/>
        </w:rPr>
        <w:t xml:space="preserve">Computers &amp; Education</w:t>
      </w:r>
      <w:r>
        <w:t xml:space="preserve">, vol. 143, art. 103676, 2020.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2026-06-14T15:35:31Z</dcterms:created>
  <dcterms:modified xsi:type="dcterms:W3CDTF">2026-06-14T15:35:31Z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