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docs/07_Preprocessing_Sequence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docs/06_SplitStrategy_Analysis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biểu đồ tuân theo quy chuẩn của nhóm (</w:t>
      </w:r>
      <w:r>
        <w:rPr>
          <w:rStyle w:val="VerbatimChar"/>
        </w:rPr>
        <w:t xml:space="preserve">docs/08_Chart_Standards</w:t>
      </w:r>
      <w:r>
        <w:t xml:space="preserve">); mã phân tích trong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thực tế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 — nhẹ). Điều này loại bỏ giả định mất cân bằng nghiêm trọng nhưng vẫn biện minh cho PR-AUC/recall, vì</w:t>
      </w:r>
      <w:r>
        <w:t xml:space="preserve"> </w:t>
      </w:r>
      <w:r>
        <w:rPr>
          <w:b/>
          <w:bCs/>
        </w:rPr>
        <w:t xml:space="preserve">lớp dương at-risk là lớp không được bỏ sót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lớp: final_result và nhãn nhị phân at_risk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lớp: final_result và nhãn nhị phân at_risk</w:t>
      </w:r>
    </w:p>
    <w:bookmarkEnd w:id="20"/>
    <w:bookmarkStart w:id="27" w:name="thống-kê-mô-tả-stt-28"/>
    <w:p>
      <w:pPr>
        <w:pStyle w:val="Heading3"/>
      </w:pPr>
      <w:r>
        <w:t xml:space="preserve">4.2 Thống kê mô tả (STT 28)</w:t>
      </w:r>
    </w:p>
    <w:p>
      <w:pPr>
        <w:pStyle w:val="FirstParagraph"/>
      </w:pPr>
      <w:r>
        <w:t xml:space="preserve">Đặc trưng tương tác</w:t>
      </w:r>
      <w:r>
        <w:t xml:space="preserve"> </w:t>
      </w:r>
      <w:r>
        <w:rPr>
          <w:b/>
          <w:bCs/>
        </w:rPr>
        <w:t xml:space="preserve">lệch phải mạnh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10,6),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(3,0),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(1,6)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. Bảng đầy đủ: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Biểu đồ tần suất kèm KDE cho các đặc trưng định lượng chính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ể soi giá trị ngoại lai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Xd8991408ab0eaf375e9b792f164fb23a0d058c6"/>
    <w:p>
      <w:pPr>
        <w:pStyle w:val="Heading3"/>
      </w:pPr>
      <w:r>
        <w:t xml:space="preserve">4.3 Phân tích song biến với biến mục tiêu (STT 36)</w:t>
      </w:r>
    </w:p>
    <w:p>
      <w:pPr>
        <w:pStyle w:val="FirstParagraph"/>
      </w:pPr>
      <w:r>
        <w:t xml:space="preserve">Chênh lệch trung bình chuẩn hoá (|Cohen’s d|) giữa hai lớp xếp hạng các đặc trưng</w:t>
      </w:r>
      <w:r>
        <w:t xml:space="preserve"> </w:t>
      </w:r>
      <w:r>
        <w:rPr>
          <w:b/>
          <w:bCs/>
        </w:rPr>
        <w:t xml:space="preserve">phân biệt</w:t>
      </w:r>
      <w:r>
        <w:t xml:space="preserve"> </w:t>
      </w:r>
      <w:r>
        <w:t xml:space="preserve">mạnh nhất: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</w:tbl>
    <w:p>
      <w:pPr>
        <w:pStyle w:val="BodyText"/>
      </w:pPr>
      <w:r>
        <w:t xml:space="preserve">Đặc trưng tương tác và kết quả chiếm ưu thế; đặc trưng nhân khẩu học yếu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Đặc trưng định lượng phân theo lớp at-risk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Tỉ lệ at-risk theo các đặc trưng phân loại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phân-tích-tương-quan-stt-37"/>
    <w:p>
      <w:pPr>
        <w:pStyle w:val="Heading3"/>
      </w:pPr>
      <w:r>
        <w:t xml:space="preserve">4.4 Phân tích tương quan (STT 37)</w:t>
      </w:r>
    </w:p>
    <w:p>
      <w:pPr>
        <w:pStyle w:val="FirstParagraph"/>
      </w:pPr>
      <w:r>
        <w:t xml:space="preserve">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(0,63). Cặp đặc trưng–đặc trưng mạnh nhất là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(0,84).</w:t>
      </w:r>
      <w:r>
        <w:t xml:space="preserve"> </w:t>
      </w:r>
      <w:r>
        <w:rPr>
          <w:b/>
          <w:bCs/>
        </w:rPr>
        <w:t xml:space="preserve">Không đặc trưng nào tương quan ≥0,95 với mục tiêu</w:t>
      </w:r>
      <w:r>
        <w:t xml:space="preserve">, nên không có đặc trưng nghi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eda-theo-thời-gian-stt-38"/>
    <w:p>
      <w:pPr>
        <w:pStyle w:val="Heading3"/>
      </w:pPr>
      <w:r>
        <w:t xml:space="preserve">4.5 EDA theo thời gian (STT 38)</w:t>
      </w:r>
    </w:p>
    <w:p>
      <w:pPr>
        <w:pStyle w:val="FirstParagraph"/>
      </w:pPr>
      <w:r>
        <w:t xml:space="preserve">Khoảng cách giữa hai lớp ở trung bình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mở rộng đơn điệu —</w:t>
      </w:r>
      <w:r>
        <w:t xml:space="preserve"> </w:t>
      </w:r>
      <w:r>
        <w:rPr>
          <w:b/>
          <w:bCs/>
        </w:rPr>
        <w:t xml:space="preserve">237 → 397 → 653 → 1.027 → 1.340 → 1.616</w:t>
      </w:r>
      <w:r>
        <w:t xml:space="preserve"> </w:t>
      </w:r>
      <w:r>
        <w:t xml:space="preserve">từ t=10%→100% — và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cũng vậy. Khoảng cách điểm trung bình</w:t>
      </w:r>
      <w:r>
        <w:t xml:space="preserve"> </w:t>
      </w:r>
      <w:r>
        <w:rPr>
          <w:b/>
          <w:bCs/>
        </w:rPr>
        <w:t xml:space="preserve">bão hoà quanh t≈40%</w:t>
      </w:r>
      <w:r>
        <w:t xml:space="preserve"> </w:t>
      </w:r>
      <w:r>
        <w:t xml:space="preserve">(29,5 → 35,8 → 40,8 rồi phẳng).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Hành vi theo thời gian phân theo lớp qua các mốc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Hành vi theo thời gian phân theo lớp qua các mốc</w:t>
      </w:r>
    </w:p>
    <w:bookmarkEnd w:id="45"/>
    <w:bookmarkStart w:id="46" w:name="các-phát-hiện-chính-và-giả-thuyết"/>
    <w:p>
      <w:pPr>
        <w:pStyle w:val="Heading3"/>
      </w:pPr>
      <w:r>
        <w:t xml:space="preserve">4.6 Các phát hiện chính và giả thuyết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tồn tại tín hiệu sớm.</w:t>
      </w:r>
      <w:r>
        <w:t xml:space="preserve"> </w:t>
      </w:r>
      <w:r>
        <w:t xml:space="preserve">Tương tác phân biệt hai lớp từ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và tín hiệu điểm gần như xác lập tại</w:t>
      </w:r>
      <w:r>
        <w:t xml:space="preserve"> </w:t>
      </w:r>
      <w:r>
        <w:rPr>
          <w:b/>
          <w:bCs/>
        </w:rPr>
        <w:t xml:space="preserve">t≈40%</w:t>
      </w:r>
      <w:r>
        <w:t xml:space="preserve">, ủng hộ khả năng dự đoán sớm đáng tin quanh 40–60%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&gt; nhân khẩu học.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việc nộp bài và điểm tích luỹ là các yếu tố phân biệt hàng đầu, trong khi nhân khẩu học yếu, khớp với Tomasevic và cộng sự [2]; điều này định hướng trọng tâm đặc trưng và kỳ vọng về các đặc trưng SHAP/LIME nên xếp hạng cao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mạnh có thể chỉ cải thiện vừa phải; RQ3 sẽ so sánh none/class-weight/SMOTE/ADASYN với mốc cơ sở này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tác tương quan cao.</w:t>
      </w:r>
      <w:r>
        <w:t xml:space="preserve"> </w:t>
      </w:r>
      <w:r>
        <w:t xml:space="preserve">Các đặc trưng tương tác tương quan cao (ví dụ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r=0,84) có thể khiến SHAP/LIME phân tán độ quan trọng giữa chúng, một yếu tố cần theo dõi khi đo độ ổn định giải thích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2026-06-14T15:35:39Z</dcterms:created>
  <dcterms:modified xsi:type="dcterms:W3CDTF">2026-06-14T15:35:39Z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