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và cộng sự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(danh sách tác giả đầy đủ cần đối chiếu nguồn)</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(tập/số trang cần đối chiếu nguồn)</w:t>
      </w:r>
    </w:p>
    <w:p>
      <w:pPr>
        <w:pStyle w:val="BodyText"/>
      </w:pPr>
      <w:r>
        <w:t xml:space="preserve">[5] Anonymous (2023). VLE Clickstream Aggregation for Student Engagement Prediction using OULAD.</w:t>
      </w:r>
      <w:r>
        <w:t xml:space="preserve"> </w:t>
      </w:r>
      <w:r>
        <w:rPr>
          <w:i/>
          <w:iCs/>
        </w:rPr>
        <w:t xml:space="preserve">(Bản thảo / tham chiếu nội bộ — cần nhóm xác nhận trích dẫn đầy đủ.)</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