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docs/04_transformation/Preprocessing_Sequence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docs/05_splitting/Split_Strategy_Analysis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so sánh đều có kiểm định thống kê phù hợp, không chỉ dựa vào cảm quan: kiểm định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(hiệu chỉnh Benjamini-Hochberg) kèm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cho biến định lượng;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kèm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cho biến phân loại; tương quan Pearson/Spearman kèm kiểm tra rò rỉ. Biểu đồ tuân theo quy chuẩn (</w:t>
      </w:r>
      <w:r>
        <w:rPr>
          <w:rStyle w:val="VerbatimChar"/>
        </w:rPr>
        <w:t xml:space="preserve">docs/07_standards/Chart_Standards</w:t>
      </w:r>
      <w:r>
        <w:t xml:space="preserve">); mã phân tích là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được thuyết minh trong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các bảng kết quả ở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chất-lượng-dữ-liệu"/>
    <w:p>
      <w:pPr>
        <w:pStyle w:val="Heading3"/>
      </w:pPr>
      <w:r>
        <w:t xml:space="preserve">4.0 Chất lượng dữ liệu</w:t>
      </w:r>
    </w:p>
    <w:p>
      <w:pPr>
        <w:pStyle w:val="FirstParagraph"/>
      </w:pPr>
      <w:r>
        <w:t xml:space="preserve">Chỉ ba cột có khuyết: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 — thiếu mang tính cấu trúc với sinh viên không rút môn, không là đặc trưng),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trung vị train). Không cột đặc trưng nào thiếu đáng kể.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Giá trị khuyết theo cột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Giá trị khuyết theo cột</w:t>
      </w:r>
    </w:p>
    <w:bookmarkEnd w:id="20"/>
    <w:bookmarkStart w:id="24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quan sát được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1,12) — đa số nhẹ, không phải con số minh hoạ 68/32. Mất cân bằng là nhẹ (báo cáo trung thực; định hình RQ3); PR-AUC và recall trên lớp at-risk vẫn là chỉ số chính vì bỏ sót sinh viên nguy cơ là sai lầm tốn kém nhất.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biến mục tiêu và mất cân bằng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biến mục tiêu và mất cân bằng</w:t>
      </w:r>
    </w:p>
    <w:bookmarkEnd w:id="24"/>
    <w:bookmarkStart w:id="34" w:name="mô-tả-đơn-biến-stt-28"/>
    <w:p>
      <w:pPr>
        <w:pStyle w:val="Heading3"/>
      </w:pPr>
      <w:r>
        <w:t xml:space="preserve">4.2 Mô tả đơn biến (STT 28)</w:t>
      </w:r>
    </w:p>
    <w:p>
      <w:pPr>
        <w:pStyle w:val="FirstParagraph"/>
      </w:pPr>
      <w:r>
        <w:t xml:space="preserve">Đặc trưng tương tác lệch phải mạnh và đuôi nặng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(độ lệch ≈ 35, độ nhọn ≈ 2.125),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(độ lệch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≈ 11)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ở bước làm sạch. Bảng đầy đủ (trung bình/trung vị/độ lệch chuẩn/tứ phân vị/skew/kurtosis):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Phân phối đơn biến (histogram + KDE), tô màu theo nhóm đặc trưng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ơn biến (soi ngoại lai theo IQR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Phân phối tần suất biến phân loại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86ba988438d9c9d9e966600b44d27f2c9e3bb38"/>
    <w:p>
      <w:pPr>
        <w:pStyle w:val="Heading3"/>
      </w:pPr>
      <w:r>
        <w:t xml:space="preserve">4.3 Song biến — biến định lượng với mục tiêu (STT 36)</w:t>
      </w:r>
    </w:p>
    <w:p>
      <w:pPr>
        <w:pStyle w:val="FirstParagraph"/>
      </w:pPr>
      <w:r>
        <w:t xml:space="preserve">Kiểm định Mann-Whitney U (hiệu chỉnh BH) cho thấy</w:t>
      </w:r>
      <w:r>
        <w:t xml:space="preserve"> </w:t>
      </w:r>
      <w:r>
        <w:rPr>
          <w:b/>
          <w:bCs/>
        </w:rPr>
        <w:t xml:space="preserve">cả 19 biến định lượng đều có ý nghĩa</w:t>
      </w:r>
      <w:r>
        <w:t xml:space="preserve"> </w:t>
      </w:r>
      <w:r>
        <w:t xml:space="preserve">(q &lt; 0,05) — điều dễ hiểu ở n ≈ 32.593 — nên</w:t>
      </w:r>
      <w:r>
        <w:t xml:space="preserve"> </w:t>
      </w:r>
      <w:r>
        <w:rPr>
          <w:b/>
          <w:bCs/>
        </w:rPr>
        <w:t xml:space="preserve">độ lớn hiệu ứng</w:t>
      </w:r>
      <w:r>
        <w:t xml:space="preserve">, không phải p-value, mới là yếu tố phân biệt. Xếp hạng theo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</w:tbl>
    <w:p>
      <w:pPr>
        <w:pStyle w:val="BodyText"/>
      </w:pPr>
      <w:r>
        <w:t xml:space="preserve">Hành vi và kết quả chiếm ưu thế; nhân khẩu học yếu nhất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 Bảng kiểm định đầy đủ: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Sức phân biệt (|Cohen’s d|), tô màu theo nhóm đặc trưng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Sáu đặc trưng định lượng mạnh nhất phân theo lớp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ong-biến-biến-phân-loại-với-mục-tiêu"/>
    <w:p>
      <w:pPr>
        <w:pStyle w:val="Heading3"/>
      </w:pPr>
      <w:r>
        <w:t xml:space="preserve">4.4 Song biến — biến phân loại với mục tiêu</w:t>
      </w:r>
    </w:p>
    <w:p>
      <w:pPr>
        <w:pStyle w:val="FirstParagraph"/>
      </w:pPr>
      <w:r>
        <w:t xml:space="preserve">Kiểm định chi-square có ý nghĩa, nhưng độ lớn hiệu ứng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đều nhỏ: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(0,15) và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(0,15) dẫn đầu, còn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(0,02) gần như không đáng kể. Nhân khẩu học mang tín hiệu độc lập hạn chế, nên giữ để phân tích công bằng hơn là dựa vào để dự đoán.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Tỉ lệ at-risk theo từng mức biến phân loại (nét đứt = mức chung 52,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Tỉ lệ at-risk theo từng mức biến phân loại (nét đứt = mức chung 52,8%)</w:t>
      </w:r>
    </w:p>
    <w:bookmarkEnd w:id="45"/>
    <w:bookmarkStart w:id="55" w:name="Xfc55ce90d99cb853a44743a21cd49992887d1cf"/>
    <w:p>
      <w:pPr>
        <w:pStyle w:val="Heading3"/>
      </w:pPr>
      <w:r>
        <w:t xml:space="preserve">4.5 Đa biến — tương quan, đa cộng tuyến, rò rỉ (STT 37)</w:t>
      </w:r>
    </w:p>
    <w:p>
      <w:pPr>
        <w:pStyle w:val="FirstParagraph"/>
      </w:pPr>
      <w:r>
        <w:t xml:space="preserve">Pearson và Spearman nhất quán về cấu trúc. Hai cặp đa cộng tuyến (|r| ≥ 0,8):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(−0,83) — liên quan đến độ ổn định giải thích (RQ2). 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(0,71).</w:t>
      </w:r>
      <w:r>
        <w:t xml:space="preserve"> </w:t>
      </w:r>
      <w:r>
        <w:rPr>
          <w:b/>
          <w:bCs/>
        </w:rPr>
        <w:t xml:space="preserve">Không đặc trưng nào tương quan ≥ 0,95 với mục tiêu</w:t>
      </w:r>
      <w:r>
        <w:t xml:space="preserve">, nên không có đặc trưng đại diện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Tương quan của đặc trưng với mục tiêu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d193ab207e76030f76d636a9c37e10eda7d3f5d"/>
    <w:p>
      <w:pPr>
        <w:pStyle w:val="Heading3"/>
      </w:pPr>
      <w:r>
        <w:t xml:space="preserve">4.6 Phân tích theo thời gian — tín hiệu xuất hiện khi nào? (STT 38, RQ1)</w:t>
      </w:r>
    </w:p>
    <w:p>
      <w:pPr>
        <w:pStyle w:val="FirstParagraph"/>
      </w:pPr>
      <w:r>
        <w:t xml:space="preserve">Theo dõi</w:t>
      </w:r>
      <w:r>
        <w:t xml:space="preserve"> </w:t>
      </w:r>
      <w:r>
        <w:rPr>
          <w:b/>
          <w:bCs/>
        </w:rPr>
        <w:t xml:space="preserve">|Cohen’s d| theo từng mốc</w:t>
      </w:r>
      <w:r>
        <w:t xml:space="preserve"> </w:t>
      </w:r>
      <w:r>
        <w:t xml:space="preserve">cho thấy sức phân biệt giữa hai lớp tăng dần theo tiến độ.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đã vượt ngưỡng hiệu ứng lớn (d ≥ 0,8) ngay tại</w:t>
      </w:r>
      <w:r>
        <w:t xml:space="preserve"> </w:t>
      </w:r>
      <w:r>
        <w:rPr>
          <w:b/>
          <w:bCs/>
        </w:rPr>
        <w:t xml:space="preserve">t = 10%</w:t>
      </w:r>
      <w:r>
        <w:t xml:space="preserve">; các đặc trưng điểm và nộp bài vượt ngưỡng tại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tại</w:t>
      </w:r>
      <w:r>
        <w:t xml:space="preserve"> </w:t>
      </w:r>
      <w:r>
        <w:rPr>
          <w:b/>
          <w:bCs/>
        </w:rPr>
        <w:t xml:space="preserve">t = 40%</w:t>
      </w:r>
      <w:r>
        <w:t xml:space="preserve">. Tín hiệu hành vi do đó khả dụng từ ~20–40% thời lượng khoá học.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mốc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sớm nhất có |d| ≥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Quỹ đạo trung bình đặc trưng theo lớp qua các mốc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Sức phân biệt tăng dần qua các mốc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72b49e204c6f711c4d0cee2374d909ce13fc0dd"/>
    <w:p>
      <w:pPr>
        <w:pStyle w:val="Heading3"/>
      </w:pPr>
      <w:r>
        <w:t xml:space="preserve">4.7 Tín hiệu cảnh báo sớm của sinh viên Withdrawn (Phương án A)</w:t>
      </w:r>
    </w:p>
    <w:p>
      <w:pPr>
        <w:pStyle w:val="FirstParagraph"/>
      </w:pPr>
      <w:r>
        <w:t xml:space="preserve">Dữ liệu xác nhận tiền đề của Phương án A rằng việc rút môn tạo ra tín hiệu thật chứ không phải nhiễu: trung vị số ngày không hoạt động là</w:t>
      </w:r>
      <w:r>
        <w:t xml:space="preserve"> </w:t>
      </w:r>
      <w:r>
        <w:rPr>
          <w:b/>
          <w:bCs/>
        </w:rPr>
        <w:t xml:space="preserve">11 ngày với not-at-risk, 116 với Fail, và 233 với Withdrawn</w:t>
      </w:r>
      <w:r>
        <w:t xml:space="preserve">, còn trung vị tổng click giảm từ</w:t>
      </w:r>
      <w:r>
        <w:t xml:space="preserve"> </w:t>
      </w:r>
      <w:r>
        <w:rPr>
          <w:b/>
          <w:bCs/>
        </w:rPr>
        <w:t xml:space="preserve">1.425 (not-at-risk) xuống 89 (Withdrawn)</w:t>
      </w:r>
      <w:r>
        <w:t xml:space="preserve">. Sự sụp đổ hoạt động của sinh viên rút môn chính là điều khiến phát hiện sớm khả thi.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Sinh viên Withdrawn: tín hiệu suy giảm hoạt động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Sinh viên Withdrawn: tín hiệu suy giảm hoạt động</w:t>
      </w:r>
    </w:p>
    <w:bookmarkEnd w:id="66"/>
    <w:bookmarkStart w:id="67" w:name="phát-hiện-và-hàm-ý-cho-mô-hình-hoá"/>
    <w:p>
      <w:pPr>
        <w:pStyle w:val="Heading3"/>
      </w:pPr>
      <w:r>
        <w:t xml:space="preserve">4.8 Phát hiện và hàm ý cho mô hình hoá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tín hiệu sớm và tăng dần.</w:t>
      </w:r>
      <w:r>
        <w:t xml:space="preserve"> </w:t>
      </w:r>
      <w:r>
        <w:t xml:space="preserve">Đặc trưng hành vi/kết quả phân biệt hai lớp từ t = 10–20% và mạnh dần đơn điệu; 40–60% là vùng ổn định, khả thi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≫ nhân khẩu học.</w:t>
      </w:r>
      <w:r>
        <w:t xml:space="preserve"> </w:t>
      </w:r>
      <w:r>
        <w:t xml:space="preserve">Tương tác/kết quả đạt d &gt; 2 trong khi liên hệ nhân khẩu học nhỏ (Cramér’s V ≤ 0,15), tái hiện Tomasevic và cộng sự [2]; SHAP/LIME được kỳ vọng xếp hạng đặc trưng hành vi cao nhất.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có thể cải thiện ít; RQ3 định lượng SMOTE/ADASYN/class-weight so với mốc cơ sở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quan cao.</w:t>
      </w:r>
      <w:r>
        <w:t xml:space="preserve"> </w:t>
      </w:r>
      <w:r>
        <w:t xml:space="preserve">Các đặc trưng tương tác đa cộng tuyến có thể làm độ quan trọng giải thích kém ổn định — yếu tố mà chỉ số ổn định phải tính đến.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không rò rỉ.</w:t>
      </w:r>
      <w:r>
        <w:t xml:space="preserve"> </w:t>
      </w:r>
      <w:r>
        <w:t xml:space="preserve">Không đặc trưng nào tương quan gần như hoàn hảo với nhãn, và phép cắt theo thời gian loại bỏ sự kiện tương lai; ước lượng trên tập kiểm tra do đó đáng tin cậy.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2026-06-14T17:17:26Z</dcterms:created>
  <dcterms:modified xsi:type="dcterms:W3CDTF">2026-06-14T17:17:26Z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