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8" w:name="temporal-leakage-prevention-rules"/>
    <w:p>
      <w:pPr>
        <w:pStyle w:val="Heading1"/>
      </w:pPr>
      <w:r>
        <w:t xml:space="preserve">Temporal Leakage Prevention Rules</w:t>
      </w:r>
    </w:p>
    <w:p>
      <w:pPr>
        <w:pStyle w:val="FirstParagraph"/>
      </w:pPr>
      <w:r>
        <w:rPr>
          <w:i/>
          <w:iCs/>
        </w:rPr>
        <w:t xml:space="preserve">Rules that keep every checkpoint dataset honest about the information available at prediction time</w:t>
      </w:r>
    </w:p>
    <w:p>
      <w:pPr>
        <w:pStyle w:val="BodyText"/>
      </w:pPr>
      <w:r>
        <w:rPr>
          <w:b/>
          <w:bCs/>
        </w:rPr>
        <w:t xml:space="preserve">DSP391m – Group 1 · Report 2 (Data Tasks), Chapter 3 · Work item STT 12 (Khoa)</w:t>
      </w:r>
      <w:r>
        <w:t xml:space="preserve"> </w:t>
      </w:r>
      <w:r>
        <w:rPr>
          <w:i/>
          <w:iCs/>
        </w:rPr>
        <w:t xml:space="preserve">Reference: group agreement BB-B0-N1 (Step 0). Enforced automatically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tests/test_leakage.py</w:t>
      </w:r>
      <w:r>
        <w:rPr>
          <w:i/>
          <w:iCs/>
        </w:rPr>
        <w:t xml:space="preserve">.</w:t>
      </w:r>
    </w:p>
    <w:p>
      <w:r>
        <w:pict>
          <v:rect style="width:0;height:1.5pt" o:hralign="center" o:hrstd="t" o:hr="t"/>
        </w:pict>
      </w:r>
    </w:p>
    <w:bookmarkStart w:id="9" w:name="what-temporal-leakage-is"/>
    <w:p>
      <w:pPr>
        <w:pStyle w:val="Heading2"/>
      </w:pPr>
      <w:r>
        <w:t xml:space="preserve">1. What temporal leakage is</w:t>
      </w:r>
    </w:p>
    <w:p>
      <w:pPr>
        <w:pStyle w:val="FirstParagraph"/>
      </w:pPr>
      <w:r>
        <w:rPr>
          <w:b/>
          <w:bCs/>
        </w:rPr>
        <w:t xml:space="preserve">Temporal (look-ahead) leakage</w:t>
      </w:r>
      <w:r>
        <w:t xml:space="preserve"> </w:t>
      </w:r>
      <w:r>
        <w:t xml:space="preserve">is the use of data generated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the prediction time. It inflates performance during development and disappears in deployment, where future data does not exist. Because this project predicts at six checkpoints (10–100% of course length), every feature at checkpoint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must be computable from data available</w:t>
      </w:r>
      <w:r>
        <w:t xml:space="preserve"> </w:t>
      </w:r>
      <w:r>
        <w:rPr>
          <w:b/>
          <w:bCs/>
        </w:rPr>
        <w:t xml:space="preserve">on or before</w:t>
      </w:r>
      <w:r>
        <w:t xml:space="preserve"> </w:t>
      </w:r>
      <w:r>
        <w:t xml:space="preserve">the checkpoint day. The checkpoint day per module-presentation is</w:t>
      </w:r>
      <w:r>
        <w:t xml:space="preserve"> </w:t>
      </w:r>
      <w:r>
        <w:rPr>
          <w:rStyle w:val="VerbatimChar"/>
        </w:rPr>
        <w:t xml:space="preserve">round(module_presentation_length × t / 100)</w:t>
      </w:r>
      <w:r>
        <w:t xml:space="preserve"> </w:t>
      </w:r>
      <w:r>
        <w:t xml:space="preserve">(see</w:t>
      </w:r>
      <w:r>
        <w:t xml:space="preserve"> </w:t>
      </w:r>
      <w:r>
        <w:rPr>
          <w:rStyle w:val="VerbatimChar"/>
        </w:rPr>
        <w:t xml:space="preserve">data/checkpoint_map.csv</w:t>
      </w:r>
      <w:r>
        <w:t xml:space="preserve">).</w:t>
      </w:r>
    </w:p>
    <w:bookmarkEnd w:id="9"/>
    <w:bookmarkStart w:id="13" w:name="the-three-rules"/>
    <w:p>
      <w:pPr>
        <w:pStyle w:val="Heading2"/>
      </w:pPr>
      <w:r>
        <w:t xml:space="preserve">2. The three rules</w:t>
      </w:r>
    </w:p>
    <w:bookmarkStart w:id="10" w:name="X63b3f9ae2d46b361f11eac3930a735fc49816b7"/>
    <w:p>
      <w:pPr>
        <w:pStyle w:val="Heading3"/>
      </w:pPr>
      <w:r>
        <w:t xml:space="preserve">Rule 1 — Drop assessment submissions dated after the checkpoint</w:t>
      </w:r>
    </w:p>
    <w:p>
      <w:pPr>
        <w:pStyle w:val="FirstParagraph"/>
      </w:pPr>
      <w:r>
        <w:t xml:space="preserve">Keep a submission only if</w:t>
      </w:r>
      <w:r>
        <w:t xml:space="preserve"> </w:t>
      </w:r>
      <w:r>
        <w:rPr>
          <w:rStyle w:val="VerbatimChar"/>
        </w:rPr>
        <w:t xml:space="preserve">date_submitted ≤ cutoff_day</w:t>
      </w:r>
      <w:r>
        <w:t xml:space="preserve">. A score handed in on day 120 cannot inform a day-100 prediction. Consequently</w:t>
      </w:r>
      <w:r>
        <w:t xml:space="preserve"> </w:t>
      </w:r>
      <w:r>
        <w:rPr>
          <w:rStyle w:val="VerbatimChar"/>
        </w:rPr>
        <w:t xml:space="preserve">mean_score_to_date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weighted_score_to_date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n_assessments_submitted</w:t>
      </w:r>
      <w:r>
        <w:t xml:space="preserve"> </w:t>
      </w:r>
      <w:r>
        <w:t xml:space="preserve">accumulate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submissions up to the cutoff.</w:t>
      </w:r>
    </w:p>
    <w:bookmarkEnd w:id="10"/>
    <w:bookmarkStart w:id="11" w:name="Xb71e1a8489e378f65d7b4e8bb489f309b641269"/>
    <w:p>
      <w:pPr>
        <w:pStyle w:val="Heading3"/>
      </w:pPr>
      <w:r>
        <w:t xml:space="preserve">Rule 2 — Drop VLE interactions dated after the checkpoint</w:t>
      </w:r>
    </w:p>
    <w:p>
      <w:pPr>
        <w:pStyle w:val="FirstParagraph"/>
      </w:pPr>
      <w:r>
        <w:t xml:space="preserve">Keep a clickstream row only if</w:t>
      </w:r>
      <w:r>
        <w:t xml:space="preserve"> </w:t>
      </w:r>
      <w:r>
        <w:rPr>
          <w:rStyle w:val="VerbatimChar"/>
        </w:rPr>
        <w:t xml:space="preserve">date ≤ cutoff_day</w:t>
      </w:r>
      <w:r>
        <w:t xml:space="preserve">. All engagement features (</w:t>
      </w:r>
      <w:r>
        <w:rPr>
          <w:rStyle w:val="VerbatimChar"/>
        </w:rPr>
        <w:t xml:space="preserve">total_clicks</w:t>
      </w:r>
      <w:r>
        <w:t xml:space="preserve">,</w:t>
      </w:r>
      <w:r>
        <w:t xml:space="preserve"> </w:t>
      </w:r>
      <w:r>
        <w:rPr>
          <w:rStyle w:val="VerbatimChar"/>
        </w:rPr>
        <w:t xml:space="preserve">n_days_active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clicks_*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max_clicks_single_day</w:t>
      </w:r>
      <w:r>
        <w:t xml:space="preserve">,</w:t>
      </w:r>
      <w:r>
        <w:t xml:space="preserve"> </w:t>
      </w:r>
      <w:r>
        <w:rPr>
          <w:rStyle w:val="VerbatimChar"/>
        </w:rPr>
        <w:t xml:space="preserve">mean_clicks_per_active_day</w:t>
      </w:r>
      <w:r>
        <w:t xml:space="preserve">,</w:t>
      </w:r>
      <w:r>
        <w:t xml:space="preserve"> </w:t>
      </w:r>
      <w:r>
        <w:rPr>
          <w:rStyle w:val="VerbatimChar"/>
        </w:rPr>
        <w:t xml:space="preserve">days_since_last_activity</w:t>
      </w:r>
      <w:r>
        <w:t xml:space="preserve">) are aggregated from the cut clickstream. Implemented by</w:t>
      </w:r>
      <w:r>
        <w:t xml:space="preserve"> </w:t>
      </w:r>
      <w:r>
        <w:rPr>
          <w:rStyle w:val="VerbatimChar"/>
        </w:rPr>
        <w:t xml:space="preserve">cut_at_checkpoint()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src/data/time_utils.py</w:t>
      </w:r>
      <w:r>
        <w:t xml:space="preserve">.</w:t>
      </w:r>
    </w:p>
    <w:bookmarkEnd w:id="11"/>
    <w:bookmarkStart w:id="12" w:name="Xdbe13e565b07231038af040d9209efcaf35edef"/>
    <w:p>
      <w:pPr>
        <w:pStyle w:val="Heading3"/>
      </w:pPr>
      <w:r>
        <w:t xml:space="preserve">Rule 3 — Handle Withdrawn-before-checkpoint per Step 0 (Option A)</w:t>
      </w:r>
    </w:p>
    <w:p>
      <w:pPr>
        <w:pStyle w:val="FirstParagraph"/>
      </w:pPr>
      <w:r>
        <w:t xml:space="preserve">A student who withdrew before checkpoint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kept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labelled at-risk</w:t>
      </w:r>
      <w:r>
        <w:t xml:space="preserve">; their features reflect only pre-withdrawal activity (Rules 1–2 already remove later events). The resulting low activity is a legitimate early-warning signal, not leakage. The label comes from</w:t>
      </w:r>
      <w:r>
        <w:t xml:space="preserve"> </w:t>
      </w:r>
      <w:r>
        <w:rPr>
          <w:rStyle w:val="VerbatimChar"/>
        </w:rPr>
        <w:t xml:space="preserve">final_result</w:t>
      </w:r>
      <w:r>
        <w:t xml:space="preserve"> </w:t>
      </w:r>
      <w:r>
        <w:t xml:space="preserve">and is fixed across checkpoints, so it never leaks future outcome into the features.</w:t>
      </w:r>
    </w:p>
    <w:bookmarkEnd w:id="12"/>
    <w:bookmarkEnd w:id="13"/>
    <w:bookmarkStart w:id="14" w:name="Xa39a24fe36fe38d9737a687abfcc6f7c96c7d6d"/>
    <w:p>
      <w:pPr>
        <w:pStyle w:val="Heading2"/>
      </w:pPr>
      <w:r>
        <w:t xml:space="preserve">3. The supporting principle — fit on train only</w:t>
      </w:r>
    </w:p>
    <w:p>
      <w:pPr>
        <w:pStyle w:val="FirstParagraph"/>
      </w:pPr>
      <w:r>
        <w:t xml:space="preserve">Beyond the time axis, any component that</w:t>
      </w:r>
      <w:r>
        <w:t xml:space="preserve"> </w:t>
      </w:r>
      <w:r>
        <w:rPr>
          <w:i/>
          <w:iCs/>
        </w:rPr>
        <w:t xml:space="preserve">learns</w:t>
      </w:r>
      <w:r>
        <w:t xml:space="preserve"> </w:t>
      </w:r>
      <w:r>
        <w:t xml:space="preserve">from data (imputation statistics, encoders, scaler, resampling) must be fit on the</w:t>
      </w:r>
      <w:r>
        <w:t xml:space="preserve"> </w:t>
      </w:r>
      <w:r>
        <w:rPr>
          <w:b/>
          <w:bCs/>
        </w:rPr>
        <w:t xml:space="preserve">training fold only</w:t>
      </w:r>
      <w:r>
        <w:t xml:space="preserve"> </w:t>
      </w:r>
      <w:r>
        <w:t xml:space="preserve">and then applied to the test set (see STT 22). Fitting on the full dataset before splitting leaks test-set information into training and produces optimistic estimates.</w:t>
      </w:r>
    </w:p>
    <w:bookmarkEnd w:id="14"/>
    <w:bookmarkStart w:id="15" w:name="automated-enforcement"/>
    <w:p>
      <w:pPr>
        <w:pStyle w:val="Heading2"/>
      </w:pPr>
      <w:r>
        <w:t xml:space="preserve">4. Automated enforcement</w:t>
      </w:r>
    </w:p>
    <w:p>
      <w:pPr>
        <w:pStyle w:val="FirstParagraph"/>
      </w:pPr>
      <w:r>
        <w:rPr>
          <w:rStyle w:val="VerbatimChar"/>
        </w:rPr>
        <w:t xml:space="preserve">tests/test_leakage.py</w:t>
      </w:r>
      <w:r>
        <w:t xml:space="preserve"> </w:t>
      </w:r>
      <w:r>
        <w:t xml:space="preserve">asserts, for all six checkpoints, that no cut record has a date beyond its checkpoint day, on both the clickstream and the submissions; that record counts are non-decreasing in</w:t>
      </w:r>
      <w:r>
        <w:t xml:space="preserve"> </w:t>
      </w:r>
      <w:r>
        <w:rPr>
          <w:i/>
          <w:iCs/>
        </w:rPr>
        <w:t xml:space="preserve">t</w:t>
      </w:r>
      <w:r>
        <w:t xml:space="preserve">; and that</w:t>
      </w:r>
      <w:r>
        <w:t xml:space="preserve"> </w:t>
      </w:r>
      <w:r>
        <w:rPr>
          <w:i/>
          <w:iCs/>
        </w:rPr>
        <w:t xml:space="preserve">t = 100%</w:t>
      </w:r>
      <w:r>
        <w:t xml:space="preserve"> </w:t>
      </w:r>
      <w:r>
        <w:t xml:space="preserve">retains all dated records. It also checks the split has no student overlap and preserves the class ratio.</w:t>
      </w:r>
      <w:r>
        <w:t xml:space="preserve"> </w:t>
      </w:r>
      <w:r>
        <w:rPr>
          <w:b/>
          <w:bCs/>
        </w:rPr>
        <w:t xml:space="preserve">Result: 16/16 tests pass.</w:t>
      </w:r>
    </w:p>
    <w:bookmarkEnd w:id="15"/>
    <w:bookmarkStart w:id="16" w:name="worked-example-aaa-2013j-length-268-days"/>
    <w:p>
      <w:pPr>
        <w:pStyle w:val="Heading2"/>
      </w:pPr>
      <w:r>
        <w:t xml:space="preserve">5. Worked example (</w:t>
      </w:r>
      <w:r>
        <w:rPr>
          <w:rStyle w:val="VerbatimChar"/>
        </w:rPr>
        <w:t xml:space="preserve">AAA / 2013J</w:t>
      </w:r>
      <w:r>
        <w:t xml:space="preserve">, length 268 days)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t%</w:t>
            </w:r>
          </w:p>
        </w:tc>
        <w:tc>
          <w:tcPr/>
          <w:p>
            <w:pPr>
              <w:pStyle w:val="Compact"/>
            </w:pPr>
            <w:r>
              <w:t xml:space="preserve">cutoff_day</w:t>
            </w:r>
          </w:p>
        </w:tc>
        <w:tc>
          <w:tcPr/>
          <w:p>
            <w:pPr>
              <w:pStyle w:val="Compact"/>
            </w:pPr>
            <w:r>
              <w:t xml:space="preserve">Interactions kept (non-decreasing)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smallest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107</w:t>
            </w:r>
          </w:p>
        </w:tc>
        <w:tc>
          <w:tcPr/>
          <w:p>
            <w:pPr>
              <w:pStyle w:val="Compact"/>
            </w:pPr>
            <w:r>
              <w:t xml:space="preserve">larger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268</w:t>
            </w:r>
          </w:p>
        </w:tc>
        <w:tc>
          <w:tcPr/>
          <w:p>
            <w:pPr>
              <w:pStyle w:val="Compact"/>
            </w:pPr>
            <w:r>
              <w:t xml:space="preserve">all dated interactions</w:t>
            </w:r>
          </w:p>
        </w:tc>
      </w:tr>
    </w:tbl>
    <w:p>
      <w:pPr>
        <w:pStyle w:val="BodyText"/>
      </w:pPr>
      <w:r>
        <w:t xml:space="preserve">The monotonic growth confirms the cut is applied correctly: more time elapsed ⇒ more (never fewer) records.</w:t>
      </w:r>
    </w:p>
    <w:bookmarkEnd w:id="16"/>
    <w:bookmarkStart w:id="17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1"/>
        </w:numPr>
      </w:pPr>
      <w:r>
        <w:t xml:space="preserve">M. Adnan et al.,</w:t>
      </w:r>
      <w:r>
        <w:t xml:space="preserve"> </w:t>
      </w:r>
      <w:r>
        <w:rPr>
          <w:i/>
          <w:iCs/>
        </w:rPr>
        <w:t xml:space="preserve">IEEE Access</w:t>
      </w:r>
      <w:r>
        <w:t xml:space="preserve">, vol. 9, pp. 7519–7539, 2021.</w:t>
      </w:r>
    </w:p>
    <w:p>
      <w:pPr>
        <w:pStyle w:val="Compact"/>
        <w:numPr>
          <w:ilvl w:val="0"/>
          <w:numId w:val="1001"/>
        </w:numPr>
      </w:pPr>
      <w:r>
        <w:t xml:space="preserve">J. Kuzilek, M. Hlosta, Z. Zdrahal,</w:t>
      </w:r>
      <w:r>
        <w:t xml:space="preserve"> </w:t>
      </w:r>
      <w:r>
        <w:rPr>
          <w:i/>
          <w:iCs/>
        </w:rPr>
        <w:t xml:space="preserve">Scientific Data</w:t>
      </w:r>
      <w:r>
        <w:t xml:space="preserve">, vol. 4, art. 170171, 2017.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2026-06-14T16:06:37Z</dcterms:created>
  <dcterms:modified xsi:type="dcterms:W3CDTF">2026-06-14T16:06:37Z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