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chart-presentation-standards"/>
    <w:p>
      <w:pPr>
        <w:pStyle w:val="Heading1"/>
      </w:pPr>
      <w:r>
        <w:t xml:space="preserve">Chart Presentation Standards</w:t>
      </w:r>
    </w:p>
    <w:p>
      <w:pPr>
        <w:pStyle w:val="FirstParagraph"/>
      </w:pPr>
      <w:r>
        <w:rPr>
          <w:b/>
          <w:bCs/>
        </w:rPr>
        <w:t xml:space="preserve">Uniform visualization guidelines for every EDA and report figure</w:t>
      </w:r>
    </w:p>
    <w:p>
      <w:pPr>
        <w:pStyle w:val="BodyText"/>
      </w:pPr>
      <w:r>
        <w:t xml:space="preserve">DSP391m – Group 1 · Report 2 (Data Tasks) · Work item STT 40-bis / STT 39 (Binh)</w:t>
      </w:r>
    </w:p>
    <w:p>
      <w:r>
        <w:pict>
          <v:rect style="width:0;height:1.5pt" o:hralign="center" o:hrstd="t" o:hr="t"/>
        </w:pict>
      </w:r>
    </w:p>
    <w:bookmarkStart w:id="9" w:name="typography-sizing"/>
    <w:p>
      <w:pPr>
        <w:pStyle w:val="Heading2"/>
      </w:pPr>
      <w:r>
        <w:t xml:space="preserve">1. Typography &amp; Sizing</w:t>
      </w:r>
    </w:p>
    <w:p>
      <w:pPr>
        <w:pStyle w:val="FirstParagraph"/>
      </w:pPr>
      <w:r>
        <w:t xml:space="preserve">All figures must use a single, cross-platform font family to ensure identical rendering on every team member’s machine and in the final PDF.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 family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DejaVu Sans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font size</w:t>
            </w:r>
          </w:p>
        </w:tc>
        <w:tc>
          <w:tcPr/>
          <w:p>
            <w:pPr>
              <w:pStyle w:val="Compact"/>
            </w:pPr>
            <w:r>
              <w:t xml:space="preserve">12 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title</w:t>
            </w:r>
          </w:p>
        </w:tc>
        <w:tc>
          <w:tcPr/>
          <w:p>
            <w:pPr>
              <w:pStyle w:val="Compact"/>
            </w:pPr>
            <w:r>
              <w:t xml:space="preserve">14 pt, bold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Axis labels</w:t>
            </w:r>
          </w:p>
        </w:tc>
        <w:tc>
          <w:tcPr/>
          <w:p>
            <w:pPr>
              <w:pStyle w:val="Compact"/>
            </w:pPr>
            <w:r>
              <w:t xml:space="preserve">12 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 labels</w:t>
            </w:r>
          </w:p>
        </w:tc>
        <w:tc>
          <w:tcPr/>
          <w:p>
            <w:pPr>
              <w:pStyle w:val="Compact"/>
            </w:pPr>
            <w:r>
              <w:t xml:space="preserve">10 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Legend text</w:t>
            </w:r>
          </w:p>
        </w:tc>
        <w:tc>
          <w:tcPr/>
          <w:p>
            <w:pPr>
              <w:pStyle w:val="Compact"/>
            </w:pPr>
            <w:r>
              <w:t xml:space="preserve">10 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size (default)</w:t>
            </w:r>
          </w:p>
        </w:tc>
        <w:tc>
          <w:tcPr/>
          <w:p>
            <w:pPr>
              <w:pStyle w:val="Compact"/>
            </w:pPr>
            <w:r>
              <w:t xml:space="preserve">8 × 5 inches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size (heatmap)</w:t>
            </w:r>
          </w:p>
        </w:tc>
        <w:tc>
          <w:tcPr/>
          <w:p>
            <w:pPr>
              <w:pStyle w:val="Compact"/>
            </w:pPr>
            <w:r>
              <w:t xml:space="preserve">10 × 8 inches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DPI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</w:tr>
    </w:tbl>
    <w:p>
      <w:pPr>
        <w:pStyle w:val="BodyText"/>
      </w:pPr>
      <w:r>
        <w:t xml:space="preserve">Wide figures (e.g., multi-checkpoint line charts) may use 12 × 5 inches. Never go below 6 × 4 or the exported PNG will be unreadable.</w:t>
      </w:r>
    </w:p>
    <w:p>
      <w:r>
        <w:pict>
          <v:rect style="width:0;height:1.5pt" o:hralign="center" o:hrstd="t" o:hr="t"/>
        </w:pict>
      </w:r>
    </w:p>
    <w:bookmarkEnd w:id="9"/>
    <w:bookmarkStart w:id="12" w:name="colour"/>
    <w:p>
      <w:pPr>
        <w:pStyle w:val="Heading2"/>
      </w:pPr>
      <w:r>
        <w:t xml:space="preserve">2. Colour</w:t>
      </w:r>
    </w:p>
    <w:bookmarkStart w:id="10" w:name="general-palette"/>
    <w:p>
      <w:pPr>
        <w:pStyle w:val="Heading3"/>
      </w:pPr>
      <w:r>
        <w:t xml:space="preserve">2.1 General palette</w:t>
      </w:r>
    </w:p>
    <w:p>
      <w:pPr>
        <w:pStyle w:val="FirstParagraph"/>
      </w:pPr>
      <w:r>
        <w:t xml:space="preserve">Use the seaborn</w:t>
      </w:r>
      <w:r>
        <w:t xml:space="preserve"> </w:t>
      </w:r>
      <w:r>
        <w:rPr>
          <w:rStyle w:val="VerbatimChar"/>
        </w:rPr>
        <w:t xml:space="preserve">"colorblind"</w:t>
      </w:r>
      <w:r>
        <w:t xml:space="preserve"> </w:t>
      </w:r>
      <w:r>
        <w:t xml:space="preserve">palette as the default cycle. This palette is safe for the most common forms of colour-vision deficiency and pairs well with white or light-grey backgrounds.</w:t>
      </w:r>
    </w:p>
    <w:p>
      <w:pPr>
        <w:pStyle w:val="SourceCode"/>
      </w:pPr>
      <w:r>
        <w:rPr>
          <w:rStyle w:val="VerbatimChar"/>
        </w:rPr>
        <w:t xml:space="preserve">sns.set_palette("colorblind")</w:t>
      </w:r>
    </w:p>
    <w:p>
      <w:pPr>
        <w:pStyle w:val="FirstParagraph"/>
      </w:pPr>
      <w:r>
        <w:t xml:space="preserve">For continuous colour scales (heatmaps, correlation matrices), use</w:t>
      </w:r>
      <w:r>
        <w:t xml:space="preserve"> </w:t>
      </w:r>
      <w:r>
        <w:rPr>
          <w:rStyle w:val="VerbatimChar"/>
        </w:rPr>
        <w:t xml:space="preserve">"coolwarm"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center=0</w:t>
      </w:r>
      <w:r>
        <w:t xml:space="preserve">.</w:t>
      </w:r>
    </w:p>
    <w:bookmarkEnd w:id="10"/>
    <w:bookmarkStart w:id="11" w:name="fixed-class-colours-mandatory"/>
    <w:p>
      <w:pPr>
        <w:pStyle w:val="Heading3"/>
      </w:pPr>
      <w:r>
        <w:t xml:space="preserve">2.2 Fixed class colours (mandatory)</w:t>
      </w:r>
    </w:p>
    <w:p>
      <w:pPr>
        <w:pStyle w:val="FirstParagraph"/>
      </w:pPr>
      <w:r>
        <w:t xml:space="preserve">Every chart that distinguishes the two target classes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use the exact same hex values. Using different colours for the same class across figures is not permitted.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Appearance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Not-at-risk (Pass / Distinction)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#2166AC</w:t>
            </w:r>
          </w:p>
        </w:tc>
        <w:tc>
          <w:tcPr/>
          <w:p>
            <w:pPr>
              <w:pStyle w:val="Compact"/>
            </w:pPr>
            <w:r>
              <w:t xml:space="preserve">Calm steel-blue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At-risk (Fail / Withdrawn)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#D6604D</w:t>
            </w:r>
          </w:p>
        </w:tc>
        <w:tc>
          <w:tcPr/>
          <w:p>
            <w:pPr>
              <w:pStyle w:val="Compact"/>
            </w:pPr>
            <w:r>
              <w:t xml:space="preserve">Warm terracotta-orange</w:t>
            </w:r>
          </w:p>
        </w:tc>
      </w:tr>
    </w:tbl>
    <w:p>
      <w:pPr>
        <w:pStyle w:val="BodyText"/>
      </w:pPr>
      <w:r>
        <w:t xml:space="preserve">Define these once at the top of every notebook:</w:t>
      </w:r>
    </w:p>
    <w:p>
      <w:pPr>
        <w:pStyle w:val="SourceCode"/>
      </w:pPr>
      <w:r>
        <w:rPr>
          <w:rStyle w:val="VerbatimChar"/>
        </w:rPr>
        <w:t xml:space="preserve">CLASS_COLOURS = {0: "#2166AC", 1: "#D6604D"}</w:t>
      </w:r>
      <w:r>
        <w:br/>
      </w:r>
      <w:r>
        <w:rPr>
          <w:rStyle w:val="VerbatimChar"/>
        </w:rPr>
        <w:t xml:space="preserve">CLASS_LABELS  = {0: "Not-at-risk", 1: "At-risk"}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axis-labelling-rules"/>
    <w:p>
      <w:pPr>
        <w:pStyle w:val="Heading2"/>
      </w:pPr>
      <w:r>
        <w:t xml:space="preserve">3. Axis &amp; Labelling Rules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Every axis must be labelled.</w:t>
      </w:r>
      <w:r>
        <w:t xml:space="preserve"> </w:t>
      </w:r>
      <w:r>
        <w:t xml:space="preserve">Include units where applicable (e.g.,</w:t>
      </w:r>
      <w:r>
        <w:t xml:space="preserve"> </w:t>
      </w:r>
      <w:r>
        <w:rPr>
          <w:rStyle w:val="VerbatimChar"/>
        </w:rPr>
        <w:t xml:space="preserve">"Total Clicks (count)"</w:t>
      </w:r>
      <w:r>
        <w:t xml:space="preserve">,</w:t>
      </w:r>
      <w:r>
        <w:t xml:space="preserve"> </w:t>
      </w:r>
      <w:r>
        <w:rPr>
          <w:rStyle w:val="VerbatimChar"/>
        </w:rPr>
        <w:t xml:space="preserve">"Mean Score (0–100)"</w:t>
      </w:r>
      <w:r>
        <w:t xml:space="preserve">,</w:t>
      </w:r>
      <w:r>
        <w:t xml:space="preserve"> </w:t>
      </w:r>
      <w:r>
        <w:rPr>
          <w:rStyle w:val="VerbatimChar"/>
        </w:rPr>
        <w:t xml:space="preserve">"Course Length (%)"</w:t>
      </w:r>
      <w:r>
        <w:t xml:space="preserve">,</w:t>
      </w:r>
      <w:r>
        <w:t xml:space="preserve"> </w:t>
      </w:r>
      <w:r>
        <w:rPr>
          <w:rStyle w:val="VerbatimChar"/>
        </w:rPr>
        <w:t xml:space="preserve">"Date"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Figure titles</w:t>
      </w:r>
      <w:r>
        <w:t xml:space="preserve"> </w:t>
      </w:r>
      <w:r>
        <w:t xml:space="preserve">follow the pattern:</w:t>
      </w:r>
      <w:r>
        <w:t xml:space="preserve"> </w:t>
      </w:r>
      <w:r>
        <w:rPr>
          <w:i/>
          <w:iCs/>
        </w:rPr>
        <w:t xml:space="preserve">Variable — grouped by Target Class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"Distribution of Total Clicks by Target Class"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Thousands separators</w:t>
      </w:r>
      <w:r>
        <w:t xml:space="preserve">: any count axis ≥ 1 000 must use comma formatting. Apply with</w:t>
      </w:r>
      <w:r>
        <w:t xml:space="preserve"> </w:t>
      </w:r>
      <w:r>
        <w:rPr>
          <w:rStyle w:val="VerbatimChar"/>
        </w:rPr>
        <w:t xml:space="preserve">ax.yaxis.set_major_formatter(mticker.FuncFormatter(lambda x, _: f"{int(x):,}"))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Long category labels</w:t>
      </w:r>
      <w:r>
        <w:t xml:space="preserve"> </w:t>
      </w:r>
      <w:r>
        <w:t xml:space="preserve">(&gt; 6 characters) on the x-axis must be rotated 45° and right-aligned:</w:t>
      </w:r>
      <w:r>
        <w:t xml:space="preserve"> </w:t>
      </w:r>
      <w:r>
        <w:rPr>
          <w:rStyle w:val="VerbatimChar"/>
        </w:rPr>
        <w:t xml:space="preserve">plt.xticks(rotation=45, ha="right")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legend</w:t>
      </w:r>
      <w:r>
        <w:t xml:space="preserve"> </w:t>
      </w:r>
      <w:r>
        <w:t xml:space="preserve">is required on all multi-series charts; position it with</w:t>
      </w:r>
      <w:r>
        <w:t xml:space="preserve"> </w:t>
      </w:r>
      <w:r>
        <w:rPr>
          <w:rStyle w:val="VerbatimChar"/>
        </w:rPr>
        <w:t xml:space="preserve">loc="best"</w:t>
      </w:r>
      <w:r>
        <w:t xml:space="preserve"> </w:t>
      </w:r>
      <w:r>
        <w:t xml:space="preserve">unless it obscures data, in which case use</w:t>
      </w:r>
      <w:r>
        <w:t xml:space="preserve"> </w:t>
      </w:r>
      <w:r>
        <w:rPr>
          <w:rStyle w:val="VerbatimChar"/>
        </w:rPr>
        <w:t xml:space="preserve">loc="upper left"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bbox_to_anchor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chart-type-selection"/>
    <w:p>
      <w:pPr>
        <w:pStyle w:val="Heading2"/>
      </w:pPr>
      <w:r>
        <w:t xml:space="preserve">4. Chart-Type Selection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 / Purpose</w:t>
            </w:r>
          </w:p>
        </w:tc>
        <w:tc>
          <w:tcPr/>
          <w:p>
            <w:pPr>
              <w:pStyle w:val="Compact"/>
            </w:pPr>
            <w:r>
              <w:t xml:space="preserve">Recommended chart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Distribution of a single numeric variable</w:t>
            </w:r>
          </w:p>
        </w:tc>
        <w:tc>
          <w:tcPr/>
          <w:p>
            <w:pPr>
              <w:pStyle w:val="Compact"/>
            </w:pPr>
            <w:r>
              <w:t xml:space="preserve">Histogram + KDE overlay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kde=True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sns.histplot</w:t>
            </w:r>
            <w:r>
              <w:t xml:space="preserve">; show mean as a vertical dashed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comparison of a numeric variable</w:t>
            </w:r>
          </w:p>
        </w:tc>
        <w:tc>
          <w:tcPr/>
          <w:p>
            <w:pPr>
              <w:pStyle w:val="Compact"/>
            </w:pPr>
            <w:r>
              <w:t xml:space="preserve">Boxplot or Violin plot</w:t>
            </w:r>
          </w:p>
        </w:tc>
        <w:tc>
          <w:tcPr/>
          <w:p>
            <w:pPr>
              <w:pStyle w:val="Compact"/>
            </w:pPr>
            <w:r>
              <w:t xml:space="preserve">Violin preferred when n &gt; 200 per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Correlation between all numeric features</w:t>
            </w:r>
          </w:p>
        </w:tc>
        <w:tc>
          <w:tcPr/>
          <w:p>
            <w:pPr>
              <w:pStyle w:val="Compact"/>
            </w:pPr>
            <w:r>
              <w:t xml:space="preserve">Heatmap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annot=True</w:t>
            </w:r>
            <w:r>
              <w:t xml:space="preserve">, mask upper triangle, use</w:t>
            </w:r>
            <w:r>
              <w:t xml:space="preserve"> </w:t>
            </w:r>
            <w:r>
              <w:rPr>
                <w:rStyle w:val="VerbatimChar"/>
              </w:rPr>
              <w:t xml:space="preserve">"coolwarm"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frequency / count</w:t>
            </w:r>
          </w:p>
        </w:tc>
        <w:tc>
          <w:tcPr/>
          <w:p>
            <w:pPr>
              <w:pStyle w:val="Compact"/>
            </w:pPr>
            <w:r>
              <w:t xml:space="preserve">Bar chart (horizontal if &gt; 6 categories)</w:t>
            </w:r>
          </w:p>
        </w:tc>
        <w:tc>
          <w:tcPr/>
          <w:p>
            <w:pPr>
              <w:pStyle w:val="Compact"/>
            </w:pPr>
            <w:r>
              <w:t xml:space="preserve">Sort bars descending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Time-aware trend across checkpoints</w:t>
            </w:r>
          </w:p>
        </w:tc>
        <w:tc>
          <w:tcPr/>
          <w:p>
            <w:pPr>
              <w:pStyle w:val="Compact"/>
            </w:pPr>
            <w:r>
              <w:t xml:space="preserve">Line chart with markers</w:t>
            </w:r>
          </w:p>
        </w:tc>
        <w:tc>
          <w:tcPr/>
          <w:p>
            <w:pPr>
              <w:pStyle w:val="Compact"/>
            </w:pPr>
            <w:r>
              <w:t xml:space="preserve">One line per class; x-axis = checkpoint label (10%, 20%, …, 100%)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Bivariate numeric vs. numeric</w:t>
            </w:r>
          </w:p>
        </w:tc>
        <w:tc>
          <w:tcPr/>
          <w:p>
            <w:pPr>
              <w:pStyle w:val="Compact"/>
            </w:pPr>
            <w:r>
              <w:t xml:space="preserve">Scatter plot</w:t>
            </w:r>
          </w:p>
        </w:tc>
        <w:tc>
          <w:tcPr/>
          <w:p>
            <w:pPr>
              <w:pStyle w:val="Compact"/>
            </w:pPr>
            <w:r>
              <w:t xml:space="preserve">Apply</w:t>
            </w:r>
            <w:r>
              <w:t xml:space="preserve"> </w:t>
            </w:r>
            <w:r>
              <w:rPr>
                <w:rStyle w:val="VerbatimChar"/>
              </w:rPr>
              <w:t xml:space="preserve">alpha=0.4</w:t>
            </w:r>
            <w:r>
              <w:t xml:space="preserve"> </w:t>
            </w:r>
            <w:r>
              <w:t xml:space="preserve">for overplotting</w:t>
            </w:r>
          </w:p>
        </w:tc>
      </w:tr>
    </w:tbl>
    <w:p>
      <w:pPr>
        <w:pStyle w:val="BodyText"/>
      </w:pPr>
      <w:r>
        <w:t xml:space="preserve">For the six time-aware checkpoints (10 / 20 / 40 / 60 / 80 / 100 % of course length), always use a line chart with the checkpoint percentage on the x-axis, not a bar chart. This makes temporal trends immediately visible.</w:t>
      </w:r>
    </w:p>
    <w:p>
      <w:r>
        <w:pict>
          <v:rect style="width:0;height:1.5pt" o:hralign="center" o:hrstd="t" o:hr="t"/>
        </w:pict>
      </w:r>
    </w:p>
    <w:bookmarkEnd w:id="14"/>
    <w:bookmarkStart w:id="15" w:name="export-file-naming"/>
    <w:p>
      <w:pPr>
        <w:pStyle w:val="Heading2"/>
      </w:pPr>
      <w:r>
        <w:t xml:space="preserve">5. Export &amp; File Naming</w:t>
      </w:r>
    </w:p>
    <w:p>
      <w:pPr>
        <w:pStyle w:val="Compact"/>
        <w:numPr>
          <w:ilvl w:val="0"/>
          <w:numId w:val="1002"/>
        </w:numPr>
      </w:pPr>
      <w:r>
        <w:t xml:space="preserve">Save all figures to</w:t>
      </w:r>
      <w:r>
        <w:t xml:space="preserve"> </w:t>
      </w:r>
      <w:r>
        <w:rPr>
          <w:rStyle w:val="VerbatimChar"/>
        </w:rPr>
        <w:t xml:space="preserve">reports/figures/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PNG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snake_case</w:t>
      </w:r>
      <w:r>
        <w:t xml:space="preserve"> </w:t>
      </w:r>
      <w:r>
        <w:t xml:space="preserve">names with a prefix that encodes the analysis type: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Analysis 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dist_</w:t>
            </w:r>
          </w:p>
        </w:tc>
        <w:tc>
          <w:tcPr/>
          <w:p>
            <w:pPr>
              <w:pStyle w:val="Compact"/>
            </w:pPr>
            <w:r>
              <w:t xml:space="preserve">Univariate distribution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dist_total_clicks.png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bivar_</w:t>
            </w:r>
          </w:p>
        </w:tc>
        <w:tc>
          <w:tcPr/>
          <w:p>
            <w:pPr>
              <w:pStyle w:val="Compact"/>
            </w:pPr>
            <w:r>
              <w:t xml:space="preserve">Bivariate / group comparison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bivar_mean_score_by_label.png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corr_</w:t>
            </w:r>
          </w:p>
        </w:tc>
        <w:tc>
          <w:tcPr/>
          <w:p>
            <w:pPr>
              <w:pStyle w:val="Compact"/>
            </w:pPr>
            <w:r>
              <w:t xml:space="preserve">Correlation heatmap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corr_pearson.png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</w:t>
            </w:r>
          </w:p>
        </w:tc>
        <w:tc>
          <w:tcPr/>
          <w:p>
            <w:pPr>
              <w:pStyle w:val="Compact"/>
            </w:pPr>
            <w:r>
              <w:t xml:space="preserve">Time-aware / checkpoint trend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time_clicks_by_label.png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cat_</w:t>
            </w:r>
          </w:p>
        </w:tc>
        <w:tc>
          <w:tcPr/>
          <w:p>
            <w:pPr>
              <w:pStyle w:val="Compact"/>
            </w:pPr>
            <w:r>
              <w:t xml:space="preserve">Category frequency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cat_module_type.png</w:t>
            </w:r>
          </w:p>
        </w:tc>
      </w:tr>
    </w:tbl>
    <w:p>
      <w:pPr>
        <w:pStyle w:val="BodyText"/>
      </w:pPr>
      <w:r>
        <w:t xml:space="preserve">Save with:</w:t>
      </w:r>
      <w:r>
        <w:t xml:space="preserve"> </w:t>
      </w:r>
      <w:r>
        <w:rPr>
          <w:rStyle w:val="VerbatimChar"/>
        </w:rPr>
        <w:t xml:space="preserve">fig.savefig("reports/figures/&lt;name&gt;.png", dpi=150, bbox_inches="tight")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X0cb1c275e58d3280cefac7b438e0338f2c0a5a4"/>
    <w:p>
      <w:pPr>
        <w:pStyle w:val="Heading2"/>
      </w:pPr>
      <w:r>
        <w:t xml:space="preserve">6. rcParams Snippet (copy-paste into every notebook)</w:t>
      </w:r>
    </w:p>
    <w:p>
      <w:pPr>
        <w:pStyle w:val="FirstParagraph"/>
      </w:pPr>
      <w:r>
        <w:t xml:space="preserve">Paste this block</w:t>
      </w:r>
      <w:r>
        <w:t xml:space="preserve"> </w:t>
      </w:r>
      <w:r>
        <w:rPr>
          <w:b/>
          <w:bCs/>
        </w:rPr>
        <w:t xml:space="preserve">once</w:t>
      </w:r>
      <w:r>
        <w:t xml:space="preserve">, immediately after imports, in every analysis notebook.</w:t>
      </w:r>
    </w:p>
    <w:p>
      <w:pPr>
        <w:pStyle w:val="SourceCode"/>
      </w:pPr>
      <w:r>
        <w:rPr>
          <w:rStyle w:val="VerbatimChar"/>
        </w:rPr>
        <w:t xml:space="preserve">import matplotlib.pyplot as plt</w:t>
      </w:r>
      <w:r>
        <w:br/>
      </w:r>
      <w:r>
        <w:rPr>
          <w:rStyle w:val="VerbatimChar"/>
        </w:rPr>
        <w:t xml:space="preserve">import matplotlib.ticker as mticker</w:t>
      </w:r>
      <w:r>
        <w:br/>
      </w:r>
      <w:r>
        <w:rPr>
          <w:rStyle w:val="VerbatimChar"/>
        </w:rPr>
        <w:t xml:space="preserve">import seaborn as sns</w:t>
      </w:r>
      <w:r>
        <w:br/>
      </w:r>
      <w:r>
        <w:br/>
      </w:r>
      <w:r>
        <w:rPr>
          <w:rStyle w:val="VerbatimChar"/>
        </w:rPr>
        <w:t xml:space="preserve"># ── DSP391m Group 1 · Chart Standards 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plt.rcParams.update({</w:t>
      </w:r>
      <w:r>
        <w:br/>
      </w:r>
      <w:r>
        <w:rPr>
          <w:rStyle w:val="VerbatimChar"/>
        </w:rPr>
        <w:t xml:space="preserve">    "font.family":       "DejaVu Sans",</w:t>
      </w:r>
      <w:r>
        <w:br/>
      </w:r>
      <w:r>
        <w:rPr>
          <w:rStyle w:val="VerbatimChar"/>
        </w:rPr>
        <w:t xml:space="preserve">    "font.size":         12,</w:t>
      </w:r>
      <w:r>
        <w:br/>
      </w:r>
      <w:r>
        <w:rPr>
          <w:rStyle w:val="VerbatimChar"/>
        </w:rPr>
        <w:t xml:space="preserve">    "axes.titlesize":    14,</w:t>
      </w:r>
      <w:r>
        <w:br/>
      </w:r>
      <w:r>
        <w:rPr>
          <w:rStyle w:val="VerbatimChar"/>
        </w:rPr>
        <w:t xml:space="preserve">    "axes.titleweight":  "bold",</w:t>
      </w:r>
      <w:r>
        <w:br/>
      </w:r>
      <w:r>
        <w:rPr>
          <w:rStyle w:val="VerbatimChar"/>
        </w:rPr>
        <w:t xml:space="preserve">    "axes.labelsize":    12,</w:t>
      </w:r>
      <w:r>
        <w:br/>
      </w:r>
      <w:r>
        <w:rPr>
          <w:rStyle w:val="VerbatimChar"/>
        </w:rPr>
        <w:t xml:space="preserve">    "xtick.labelsize":   10,</w:t>
      </w:r>
      <w:r>
        <w:br/>
      </w:r>
      <w:r>
        <w:rPr>
          <w:rStyle w:val="VerbatimChar"/>
        </w:rPr>
        <w:t xml:space="preserve">    "ytick.labelsize":   10,</w:t>
      </w:r>
      <w:r>
        <w:br/>
      </w:r>
      <w:r>
        <w:rPr>
          <w:rStyle w:val="VerbatimChar"/>
        </w:rPr>
        <w:t xml:space="preserve">    "legend.fontsize":   10,</w:t>
      </w:r>
      <w:r>
        <w:br/>
      </w:r>
      <w:r>
        <w:rPr>
          <w:rStyle w:val="VerbatimChar"/>
        </w:rPr>
        <w:t xml:space="preserve">    "figure.figsize":    (8, 5),</w:t>
      </w:r>
      <w:r>
        <w:br/>
      </w:r>
      <w:r>
        <w:rPr>
          <w:rStyle w:val="VerbatimChar"/>
        </w:rPr>
        <w:t xml:space="preserve">    "figure.dpi":        150,</w:t>
      </w:r>
      <w:r>
        <w:br/>
      </w:r>
      <w:r>
        <w:rPr>
          <w:rStyle w:val="VerbatimChar"/>
        </w:rPr>
        <w:t xml:space="preserve">    "savefig.dpi":       150,</w:t>
      </w:r>
      <w:r>
        <w:br/>
      </w:r>
      <w:r>
        <w:rPr>
          <w:rStyle w:val="VerbatimChar"/>
        </w:rPr>
        <w:t xml:space="preserve">    "savefig.bbox":      "tight",</w:t>
      </w:r>
      <w:r>
        <w:br/>
      </w:r>
      <w:r>
        <w:rPr>
          <w:rStyle w:val="VerbatimChar"/>
        </w:rPr>
        <w:t xml:space="preserve">    "axes.spines.top":   False,</w:t>
      </w:r>
      <w:r>
        <w:br/>
      </w:r>
      <w:r>
        <w:rPr>
          <w:rStyle w:val="VerbatimChar"/>
        </w:rPr>
        <w:t xml:space="preserve">    "axes.spines.right": False,</w:t>
      </w:r>
      <w:r>
        <w:br/>
      </w:r>
      <w:r>
        <w:rPr>
          <w:rStyle w:val="VerbatimChar"/>
        </w:rPr>
        <w:t xml:space="preserve">    "axes.grid":         True,</w:t>
      </w:r>
      <w:r>
        <w:br/>
      </w:r>
      <w:r>
        <w:rPr>
          <w:rStyle w:val="VerbatimChar"/>
        </w:rPr>
        <w:t xml:space="preserve">    "grid.alpha":        0.3,</w:t>
      </w:r>
      <w:r>
        <w:br/>
      </w:r>
      <w:r>
        <w:rPr>
          <w:rStyle w:val="VerbatimChar"/>
        </w:rPr>
        <w:t xml:space="preserve">})</w:t>
      </w:r>
      <w:r>
        <w:br/>
      </w:r>
      <w:r>
        <w:br/>
      </w:r>
      <w:r>
        <w:rPr>
          <w:rStyle w:val="VerbatimChar"/>
        </w:rPr>
        <w:t xml:space="preserve">sns.set_palette("colorblind")</w:t>
      </w:r>
      <w:r>
        <w:br/>
      </w:r>
      <w:r>
        <w:br/>
      </w:r>
      <w:r>
        <w:rPr>
          <w:rStyle w:val="VerbatimChar"/>
        </w:rPr>
        <w:t xml:space="preserve"># Fixed class colours — MUST be used in every class-split chart</w:t>
      </w:r>
      <w:r>
        <w:br/>
      </w:r>
      <w:r>
        <w:rPr>
          <w:rStyle w:val="VerbatimChar"/>
        </w:rPr>
        <w:t xml:space="preserve">CLASS_COLOURS = {0: "#2166AC", 1: "#D6604D"}</w:t>
      </w:r>
      <w:r>
        <w:br/>
      </w:r>
      <w:r>
        <w:rPr>
          <w:rStyle w:val="VerbatimChar"/>
        </w:rPr>
        <w:t xml:space="preserve">CLASS_LABELS  = {0: "Not-at-risk", 1: "At-risk"}</w:t>
      </w:r>
      <w:r>
        <w:br/>
      </w:r>
      <w:r>
        <w:rPr>
          <w:rStyle w:val="VerbatimChar"/>
        </w:rPr>
        <w:t xml:space="preserve"># 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updated: 2026-06-14 · Maintained by Group 1 (DSP391m)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2026-06-14T16:06:41Z</dcterms:created>
  <dcterms:modified xsi:type="dcterms:W3CDTF">2026-06-14T16:06:41Z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