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8.png" ContentType="image/png"/>
  <Override PartName="/word/media/rId35.png" ContentType="image/png"/>
  <Override PartName="/word/media/rId38.png" ContentType="image/png"/>
  <Override PartName="/word/media/rId17.png" ContentType="image/png"/>
  <Override PartName="/word/media/rId24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docs/03_DataCollection_Methods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docs/DataSource_License_Ethics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docs/01_TargetVariable_Definition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docs/07_Preprocessing_Sequence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docs/02_LeakagePrevention_Rules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docs/07_Preprocessing_Sequence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docs/06_SplitStrategy_Analysis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docs/10_Reproducibility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7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All figures use the team chart standard (</w:t>
      </w:r>
      <w:r>
        <w:rPr>
          <w:rStyle w:val="VerbatimChar"/>
        </w:rPr>
        <w:t xml:space="preserve">docs/08_Chart_Standards</w:t>
      </w:r>
      <w:r>
        <w:t xml:space="preserve">); analysis code is in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 </w:t>
      </w:r>
      <w:r>
        <w:t xml:space="preserve">(notebook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).</w:t>
      </w:r>
    </w:p>
    <w:bookmarkStart w:id="20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real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 — mild). This rules out severe-imbalance assumptions but still justifies PR-AUC/recall, because the</w:t>
      </w:r>
      <w:r>
        <w:t xml:space="preserve"> </w:t>
      </w:r>
      <w:r>
        <w:rPr>
          <w:b/>
          <w:bCs/>
        </w:rPr>
        <w:t xml:space="preserve">at-risk positive class is the one we must not miss</w:t>
      </w:r>
      <w:r>
        <w:t xml:space="preserve">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Class distribution: final_result and the binary at_risk label" title="" id="18" name="Picture"/>
            <a:graphic>
              <a:graphicData uri="http://schemas.openxmlformats.org/drawingml/2006/picture">
                <pic:pic>
                  <pic:nvPicPr>
                    <pic:cNvPr descr="figures/dist_class_distribu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distribution: final_result and the binary at_risk label</w:t>
      </w:r>
    </w:p>
    <w:bookmarkEnd w:id="20"/>
    <w:bookmarkStart w:id="27" w:name="descriptive-statistics-stt-28"/>
    <w:p>
      <w:pPr>
        <w:pStyle w:val="Heading3"/>
      </w:pPr>
      <w:r>
        <w:t xml:space="preserve">4.2 Descriptive statistics (STT 28)</w:t>
      </w:r>
    </w:p>
    <w:p>
      <w:pPr>
        <w:pStyle w:val="FirstParagraph"/>
      </w:pPr>
      <w:r>
        <w:t xml:space="preserve">Engagement features are strongly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10.6),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(3.0),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 </w:t>
      </w:r>
      <w:r>
        <w:t xml:space="preserve">(1.6)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transform. Full table:</w:t>
      </w:r>
      <w:r>
        <w:t xml:space="preserve"> </w:t>
      </w:r>
      <w:r>
        <w:rPr>
          <w:rStyle w:val="VerbatimChar"/>
        </w:rPr>
        <w:t xml:space="preserve">reports/eda_descriptive_stats.csv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Histograms with KDE for the main numeric features" title="" id="22" name="Picture"/>
            <a:graphic>
              <a:graphicData uri="http://schemas.openxmlformats.org/drawingml/2006/picture">
                <pic:pic>
                  <pic:nvPicPr>
                    <pic:cNvPr descr="figures/dist_numeric_hist_kd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oxplots for outlier inspection" title="" id="25" name="Picture"/>
            <a:graphic>
              <a:graphicData uri="http://schemas.openxmlformats.org/drawingml/2006/picture">
                <pic:pic>
                  <pic:nvPicPr>
                    <pic:cNvPr descr="figures/dist_numeric_boxplo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bivariate-analysis-vs.-the-target-stt-36"/>
    <w:p>
      <w:pPr>
        <w:pStyle w:val="Heading3"/>
      </w:pPr>
      <w:r>
        <w:t xml:space="preserve">4.3 Bivariate analysis vs. the target (STT 36)</w:t>
      </w:r>
    </w:p>
    <w:p>
      <w:pPr>
        <w:pStyle w:val="FirstParagraph"/>
      </w:pPr>
      <w:r>
        <w:t xml:space="preserve">Standardised mean differences (|Cohen’s d|) between classes rank the most</w:t>
      </w:r>
      <w:r>
        <w:t xml:space="preserve"> </w:t>
      </w:r>
      <w:r>
        <w:rPr>
          <w:b/>
          <w:bCs/>
        </w:rPr>
        <w:t xml:space="preserve">discriminative</w:t>
      </w:r>
      <w:r>
        <w:t xml:space="preserve"> </w:t>
      </w:r>
      <w:r>
        <w:t xml:space="preserve">features: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t xml:space="preserve">Engagement and performance features dominate; demographic features are weak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</w:t>
      </w:r>
    </w:p>
    <w:p>
      <w:pPr>
        <w:pStyle w:val="BodyText"/>
      </w:pPr>
      <w:r>
        <w:drawing>
          <wp:inline>
            <wp:extent cx="5334000" cy="3302885"/>
            <wp:effectExtent b="0" l="0" r="0" t="0"/>
            <wp:docPr descr="Numeric features by at-risk class" title="" id="29" name="Picture"/>
            <a:graphic>
              <a:graphicData uri="http://schemas.openxmlformats.org/drawingml/2006/picture">
                <pic:pic>
                  <pic:nvPicPr>
                    <pic:cNvPr descr="figures/bivar_numeric_by_labe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45272"/>
            <wp:effectExtent b="0" l="0" r="0" t="0"/>
            <wp:docPr descr="At-risk rate across categorical features" title="" id="32" name="Picture"/>
            <a:graphic>
              <a:graphicData uri="http://schemas.openxmlformats.org/drawingml/2006/picture">
                <pic:pic>
                  <pic:nvPicPr>
                    <pic:cNvPr descr="figures/bivar_atrisk_rate_by_catego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correlation-analysis-stt-37"/>
    <w:p>
      <w:pPr>
        <w:pStyle w:val="Heading3"/>
      </w:pPr>
      <w:r>
        <w:t xml:space="preserve">4.4 Correlation analysis (STT 37)</w:t>
      </w:r>
    </w:p>
    <w:p>
      <w:pPr>
        <w:pStyle w:val="FirstParagraph"/>
      </w:pPr>
      <w:r>
        <w:t xml:space="preserve">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(r=0.78),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(0.63). The strongest feature–feature pair is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(0.84).</w:t>
      </w:r>
      <w:r>
        <w:t xml:space="preserve"> </w:t>
      </w:r>
      <w:r>
        <w:rPr>
          <w:b/>
          <w:bCs/>
        </w:rPr>
        <w:t xml:space="preserve">No feature correlates ≥0.95 with the target</w:t>
      </w:r>
      <w:r>
        <w:t xml:space="preserve">, so no leakage feature is flagged.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36" name="Picture"/>
            <a:graphic>
              <a:graphicData uri="http://schemas.openxmlformats.org/drawingml/2006/picture">
                <pic:pic>
                  <pic:nvPicPr>
                    <pic:cNvPr descr="figures/corr_pear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39" name="Picture"/>
            <a:graphic>
              <a:graphicData uri="http://schemas.openxmlformats.org/drawingml/2006/picture">
                <pic:pic>
                  <pic:nvPicPr>
                    <pic:cNvPr descr="figures/corr_spearma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time-aware-eda-stt-38"/>
    <w:p>
      <w:pPr>
        <w:pStyle w:val="Heading3"/>
      </w:pPr>
      <w:r>
        <w:t xml:space="preserve">4.5 Time-aware EDA (STT 38)</w:t>
      </w:r>
    </w:p>
    <w:p>
      <w:pPr>
        <w:pStyle w:val="FirstParagraph"/>
      </w:pPr>
      <w:r>
        <w:t xml:space="preserve">The between-class gap in mean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widens monotonically —</w:t>
      </w:r>
      <w:r>
        <w:t xml:space="preserve"> </w:t>
      </w:r>
      <w:r>
        <w:rPr>
          <w:b/>
          <w:bCs/>
        </w:rPr>
        <w:t xml:space="preserve">237 → 397 → 653 → 1,027 → 1,340 → 1,616</w:t>
      </w:r>
      <w:r>
        <w:t xml:space="preserve"> </w:t>
      </w:r>
      <w:r>
        <w:t xml:space="preserve">from t=10%→100% — and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likewise. The mean-score gap</w:t>
      </w:r>
      <w:r>
        <w:t xml:space="preserve"> </w:t>
      </w:r>
      <w:r>
        <w:rPr>
          <w:b/>
          <w:bCs/>
        </w:rPr>
        <w:t xml:space="preserve">saturates near t≈40%</w:t>
      </w:r>
      <w:r>
        <w:t xml:space="preserve"> </w:t>
      </w:r>
      <w:r>
        <w:t xml:space="preserve">(29.5 → 35.8 → 40.8, then flat).</w:t>
      </w:r>
    </w:p>
    <w:p>
      <w:pPr>
        <w:pStyle w:val="CaptionedFigure"/>
      </w:pPr>
      <w:r>
        <w:drawing>
          <wp:inline>
            <wp:extent cx="5334000" cy="1805132"/>
            <wp:effectExtent b="0" l="0" r="0" t="0"/>
            <wp:docPr descr="Time-aware behaviour by class across checkpoints" title="" id="43" name="Picture"/>
            <a:graphic>
              <a:graphicData uri="http://schemas.openxmlformats.org/drawingml/2006/picture">
                <pic:pic>
                  <pic:nvPicPr>
                    <pic:cNvPr descr="figures/time_trends_by_lab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Time-aware behaviour by class across checkpoints</w:t>
      </w:r>
    </w:p>
    <w:bookmarkEnd w:id="45"/>
    <w:bookmarkStart w:id="46" w:name="key-findings-and-hypotheses"/>
    <w:p>
      <w:pPr>
        <w:pStyle w:val="Heading3"/>
      </w:pPr>
      <w:r>
        <w:t xml:space="preserve">4.6 Key findings and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 signal exists.</w:t>
      </w:r>
      <w:r>
        <w:t xml:space="preserve"> </w:t>
      </w:r>
      <w:r>
        <w:t xml:space="preserve">Engagement separates the classes from</w:t>
      </w:r>
      <w:r>
        <w:t xml:space="preserve"> </w:t>
      </w:r>
      <w:r>
        <w:rPr>
          <w:b/>
          <w:bCs/>
        </w:rPr>
        <w:t xml:space="preserve">t=10–20%</w:t>
      </w:r>
      <w:r>
        <w:t xml:space="preserve"> </w:t>
      </w:r>
      <w:r>
        <w:t xml:space="preserve">and the score signal is largely established by</w:t>
      </w:r>
      <w:r>
        <w:t xml:space="preserve"> </w:t>
      </w:r>
      <w:r>
        <w:rPr>
          <w:b/>
          <w:bCs/>
        </w:rPr>
        <w:t xml:space="preserve">t≈40%</w:t>
      </w:r>
      <w:r>
        <w:t xml:space="preserve">, supporting reliable early prediction around 40–60%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&gt; demographics.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, assessment submission, and accumulated score are the top discriminators while demographics are weak, matching Tomasevic et al. [2]; this guides feature emphasis and sets expectations for which features SHAP/LIME should rank highly (RQ2).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aggressive resampling may yield only modest gains; RQ3 will compare none/class-weight/SMOTE/ADASYN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engagement features.</w:t>
      </w:r>
      <w:r>
        <w:t xml:space="preserve"> </w:t>
      </w:r>
      <w:r>
        <w:t xml:space="preserve">Highly correlated engagement features (e.g.,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–</w:t>
      </w:r>
      <w:r>
        <w:rPr>
          <w:rStyle w:val="VerbatimChar"/>
        </w:rPr>
        <w:t xml:space="preserve">n_days_active</w:t>
      </w:r>
      <w:r>
        <w:t xml:space="preserve">, r=0.84) may make SHAP/LIME distribute importance among them, a factor to watch when measuring explanation stability (RQ2).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2026-06-14T16:06:49Z</dcterms:created>
  <dcterms:modified xsi:type="dcterms:W3CDTF">2026-06-14T16:06:49Z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