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5.png" ContentType="image/png"/>
  <Override PartName="/word/media/rId38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92fdfa1eb884038921d4e486f6f095c86d42c57"/>
    <w:p>
      <w:pPr>
        <w:pStyle w:val="Heading1"/>
      </w:pPr>
      <w:r>
        <w:t xml:space="preserve">Báo cáo 2 — Tác vụ dữ liệu: Thu thập, Làm sạch và Phân tích khám phá</w:t>
      </w:r>
    </w:p>
    <w:p>
      <w:pPr>
        <w:pStyle w:val="FirstParagraph"/>
      </w:pPr>
      <w:r>
        <w:rPr>
          <w:b/>
          <w:bCs/>
        </w:rPr>
        <w:t xml:space="preserve">DSP391m – Đồ án Khoa học Dữ liệu · Nhóm 1 · Đại học FPT</w:t>
      </w:r>
      <w:r>
        <w:t xml:space="preserve"> </w:t>
      </w:r>
      <w:r>
        <w:rPr>
          <w:i/>
          <w:iCs/>
        </w:rPr>
        <w:t xml:space="preserve">Đề tài: Time-Aware Explainable Machine Learning for Early At-Risk Student Prediction on OULAD · GVHD: Nguyễn Thị Hoàng Yến</w:t>
      </w:r>
      <w:r>
        <w:t xml:space="preserve"> </w:t>
      </w:r>
      <w:r>
        <w:rPr>
          <w:i/>
          <w:iCs/>
        </w:rPr>
        <w:t xml:space="preserve">Phạm vi: CLO3–CLO4 · Chương 3 (Thu thập &amp; Làm sạch) và Chương 4 (EDA). Bản thảo này tổng hợp các sản phẩm của nhóm; các tài liệu chi tiết riêng được tham chiếu trong bài.</w:t>
      </w:r>
    </w:p>
    <w:p>
      <w:r>
        <w:pict>
          <v:rect style="width:0;height:1.5pt" o:hralign="center" o:hrstd="t" o:hr="t"/>
        </w:pict>
      </w:r>
    </w:p>
    <w:bookmarkStart w:id="16" w:name="chương-3-thu-thập-và-làm-sạch-dữ-liệu"/>
    <w:p>
      <w:pPr>
        <w:pStyle w:val="Heading2"/>
      </w:pPr>
      <w:r>
        <w:t xml:space="preserve">Chương 3 — Thu thập và làm sạch dữ liệu</w:t>
      </w:r>
    </w:p>
    <w:bookmarkStart w:id="9" w:name="nguồn-dữ-liệu-giấy-phép-và-đạo-đức"/>
    <w:p>
      <w:pPr>
        <w:pStyle w:val="Heading3"/>
      </w:pPr>
      <w:r>
        <w:t xml:space="preserve">3.1 Nguồn dữ liệu, giấy phép và đạo đức</w:t>
      </w:r>
    </w:p>
    <w:p>
      <w:pPr>
        <w:pStyle w:val="FirstParagraph"/>
      </w:pPr>
      <w:r>
        <w:t xml:space="preserve">Đề tài sử dụng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và cộng sự, 2017 [3]):</w:t>
      </w:r>
      <w:r>
        <w:t xml:space="preserve"> </w:t>
      </w:r>
      <w:r>
        <w:rPr>
          <w:b/>
          <w:bCs/>
        </w:rPr>
        <w:t xml:space="preserve">32.593</w:t>
      </w:r>
      <w:r>
        <w:t xml:space="preserve"> </w:t>
      </w:r>
      <w:r>
        <w:t xml:space="preserve">bản ghi sinh viên–môn–kỳ trên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môn–kỳ và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bảng quan hệ, gồm ba nhóm đặc trưng (nhân khẩu học, tương tác/VLE, kết quả đánh giá) và biến kết quả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đã được</w:t>
      </w:r>
      <w:r>
        <w:t xml:space="preserve"> </w:t>
      </w:r>
      <w:r>
        <w:rPr>
          <w:b/>
          <w:bCs/>
        </w:rPr>
        <w:t xml:space="preserve">ẩn danh tại nguồn</w:t>
      </w:r>
      <w:r>
        <w:t xml:space="preserve"> </w:t>
      </w:r>
      <w:r>
        <w:t xml:space="preserve">và phân phối theo</w:t>
      </w:r>
      <w:r>
        <w:t xml:space="preserve"> </w:t>
      </w:r>
      <w:r>
        <w:rPr>
          <w:b/>
          <w:bCs/>
        </w:rPr>
        <w:t xml:space="preserve">CC-BY 4.0</w:t>
      </w:r>
      <w:r>
        <w:t xml:space="preserve">, nên yêu cầu đạo đức được đáp ứng bằng việc trích dẫn đúng quy cách; không xử lý dữ liệu cá nhân nhạy cảm. Phân tích phương pháp thu thập và lý do dùng dữ liệu thứ cấp công khai nằm trong</w:t>
      </w:r>
      <w:r>
        <w:t xml:space="preserve"> </w:t>
      </w:r>
      <w:r>
        <w:rPr>
          <w:rStyle w:val="VerbatimChar"/>
        </w:rPr>
        <w:t xml:space="preserve">docs/03_DataCollection_Methods</w:t>
      </w:r>
      <w:r>
        <w:t xml:space="preserve">; phần nguồn/giấy phép/đạo đức trong</w:t>
      </w:r>
      <w:r>
        <w:t xml:space="preserve"> </w:t>
      </w:r>
      <w:r>
        <w:rPr>
          <w:rStyle w:val="VerbatimChar"/>
        </w:rPr>
        <w:t xml:space="preserve">docs/DataSource_License_Ethics</w:t>
      </w:r>
      <w:r>
        <w:t xml:space="preserve">.</w:t>
      </w:r>
    </w:p>
    <w:bookmarkEnd w:id="9"/>
    <w:bookmarkStart w:id="10" w:name="định-nghĩa-biến-mục-tiêu"/>
    <w:p>
      <w:pPr>
        <w:pStyle w:val="Heading3"/>
      </w:pPr>
      <w:r>
        <w:t xml:space="preserve">3.2 Định nghĩa biến mục tiêu</w:t>
      </w:r>
    </w:p>
    <w:p>
      <w:pPr>
        <w:pStyle w:val="FirstParagraph"/>
      </w:pPr>
      <w:r>
        <w:t xml:space="preserve">Bài toán là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. Nhãn suy ra từ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qua mọi mốc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Lớp at-risk là</w:t>
      </w:r>
      <w:r>
        <w:t xml:space="preserve"> </w:t>
      </w:r>
      <w:r>
        <w:rPr>
          <w:b/>
          <w:bCs/>
        </w:rPr>
        <w:t xml:space="preserve">đa số nhẹ</w:t>
      </w:r>
      <w:r>
        <w:t xml:space="preserve"> </w:t>
      </w:r>
      <w:r>
        <w:t xml:space="preserve">(mất cân bằng nhẹ); con số 68/32 trên slide chỉ mang tính minh hoạ. Lập luận đầy đủ và quy ước xử lý Withdrawn theo thời gian (</w:t>
      </w:r>
      <w:r>
        <w:rPr>
          <w:b/>
          <w:bCs/>
        </w:rPr>
        <w:t xml:space="preserve">Phương án A</w:t>
      </w:r>
      <w:r>
        <w:t xml:space="preserve">: nhãn cố định, quần thể cố định,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nằm trong</w:t>
      </w:r>
      <w:r>
        <w:t xml:space="preserve"> </w:t>
      </w:r>
      <w:r>
        <w:rPr>
          <w:rStyle w:val="VerbatimChar"/>
        </w:rPr>
        <w:t xml:space="preserve">docs/01_TargetVariable_Definition</w:t>
      </w:r>
      <w:r>
        <w:t xml:space="preserve"> </w:t>
      </w:r>
      <w:r>
        <w:t xml:space="preserve">(biên bản BB-B0-N1).</w:t>
      </w:r>
    </w:p>
    <w:bookmarkEnd w:id="10"/>
    <w:bookmarkStart w:id="11" w:name="tích-hợp-dữ-liệu-bảng-hợp-nhất"/>
    <w:p>
      <w:pPr>
        <w:pStyle w:val="Heading3"/>
      </w:pPr>
      <w:r>
        <w:t xml:space="preserve">3.3 Tích hợp dữ liệu — bảng hợp nhất</w:t>
      </w:r>
    </w:p>
    <w:p>
      <w:pPr>
        <w:pStyle w:val="FirstParagraph"/>
      </w:pPr>
      <w:r>
        <w:t xml:space="preserve">Bảy bảng được hợp nhất thành một</w:t>
      </w:r>
      <w:r>
        <w:t xml:space="preserve"> </w:t>
      </w:r>
      <w:r>
        <w:rPr>
          <w:b/>
          <w:bCs/>
        </w:rPr>
        <w:t xml:space="preserve">bảng phẳng</w:t>
      </w:r>
      <w:r>
        <w:t xml:space="preserve">, mỗi dòng một sinh viên–môn–kỳ.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làm bảng nền; bảng đăng ký, bảng tương tác đã tổng hợp và bảng kết quả đã tổng hợp được nối bằng</w:t>
      </w:r>
      <w:r>
        <w:t xml:space="preserve"> </w:t>
      </w:r>
      <w:r>
        <w:rPr>
          <w:b/>
          <w:bCs/>
        </w:rPr>
        <w:t xml:space="preserve">left join</w:t>
      </w:r>
      <w:r>
        <w:t xml:space="preserve">;</w:t>
      </w:r>
      <w:r>
        <w:t xml:space="preserve"> </w:t>
      </w:r>
      <w:r>
        <w:rPr>
          <w:b/>
          <w:bCs/>
        </w:rPr>
        <w:t xml:space="preserve">nhật ký kết nối</w:t>
      </w:r>
      <w:r>
        <w:t xml:space="preserve"> </w:t>
      </w:r>
      <w:r>
        <w:t xml:space="preserve">trước/sau chứng minh tính toàn vẹn: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(nền)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32.593</w:t>
            </w:r>
          </w:p>
        </w:tc>
        <w:tc>
          <w:tcPr/>
          <w:p>
            <w:pPr>
              <w:pStyle w:val="Compact"/>
            </w:pPr>
            <w:r>
              <w:t xml:space="preserve">28.785</w:t>
            </w:r>
          </w:p>
        </w:tc>
      </w:tr>
    </w:tbl>
    <w:p>
      <w:pPr>
        <w:pStyle w:val="BodyText"/>
      </w:pPr>
      <w:r>
        <w:t xml:space="preserve">Không dòng nào bị nhân bản hay thất thoát.</w:t>
      </w:r>
      <w:r>
        <w:t xml:space="preserve"> </w:t>
      </w:r>
      <w:r>
        <w:rPr>
          <w:b/>
          <w:bCs/>
        </w:rPr>
        <w:t xml:space="preserve">Đặc trưng tương tác</w:t>
      </w:r>
      <w:r>
        <w:t xml:space="preserve"> </w:t>
      </w:r>
      <w:r>
        <w:t xml:space="preserve">được tổng hợp từ clickstream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(</w:t>
      </w:r>
      <w:r>
        <w:rPr>
          <w:b/>
          <w:bCs/>
        </w:rPr>
        <w:t xml:space="preserve">10.655.280</w:t>
      </w:r>
      <w:r>
        <w:t xml:space="preserve"> </w:t>
      </w:r>
      <w:r>
        <w:t xml:space="preserve">dòng, nối với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để lấy loại hoạt động):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tám cột</w:t>
      </w:r>
      <w:r>
        <w:t xml:space="preserve"> </w:t>
      </w:r>
      <w:r>
        <w:rPr>
          <w:rStyle w:val="VerbatimChar"/>
        </w:rPr>
        <w:t xml:space="preserve">clicks_&lt;loại&gt;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Đặc trưng kết quả</w:t>
      </w:r>
      <w:r>
        <w:t xml:space="preserve"> </w:t>
      </w:r>
      <w:r>
        <w:t xml:space="preserve">được tổng hợp từ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kèm trọng số/hạn nộp: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và cờ nguy cơ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(đã qua hạn mà chưa nộp). Kết quả:</w:t>
      </w:r>
      <w:r>
        <w:t xml:space="preserve"> </w:t>
      </w:r>
      <w:r>
        <w:rPr>
          <w:b/>
          <w:bCs/>
        </w:rPr>
        <w:t xml:space="preserve">master_raw = 32.593 × 33 cột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làm-sạch-dữ-liệu"/>
    <w:p>
      <w:pPr>
        <w:pStyle w:val="Heading3"/>
      </w:pPr>
      <w:r>
        <w:t xml:space="preserve">3.4 Làm sạch dữ liệu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Trùng lặp:</w:t>
      </w:r>
      <w:r>
        <w:t xml:space="preserve"> </w:t>
      </w:r>
      <w:r>
        <w:t xml:space="preserve">0 khoá tổng hợp trùng sau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Nhất quán:</w:t>
      </w:r>
      <w:r>
        <w:t xml:space="preserve"> </w:t>
      </w:r>
      <w:r>
        <w:t xml:space="preserve">nhãn phân loại được chuẩn hoá; số giá trị khớp từ điển dữ liệu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Giá trị khuyết: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(1.111)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điểm khuyết do chưa nộp → 0 kèm cờ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(một</w:t>
      </w:r>
      <w:r>
        <w:t xml:space="preserve"> </w:t>
      </w:r>
      <w:r>
        <w:rPr>
          <w:i/>
          <w:iCs/>
        </w:rPr>
        <w:t xml:space="preserve">tín hiệu</w:t>
      </w:r>
      <w:r>
        <w:t xml:space="preserve">, không phải nhiễu);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trung vị train. Khoảng khuyết lớn duy nhất,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(22.521), là</w:t>
      </w:r>
      <w:r>
        <w:t xml:space="preserve"> </w:t>
      </w:r>
      <w:r>
        <w:rPr>
          <w:b/>
          <w:bCs/>
        </w:rPr>
        <w:t xml:space="preserve">bình thường</w:t>
      </w:r>
      <w:r>
        <w:t xml:space="preserve"> </w:t>
      </w:r>
      <w:r>
        <w:t xml:space="preserve">— đa số sinh viên không rút môn — và không dùng làm đặc trưng.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Ngoại lai:</w:t>
      </w:r>
      <w:r>
        <w:t xml:space="preserve"> </w:t>
      </w:r>
      <w:r>
        <w:t xml:space="preserve">đặc trưng clickstream lệch phải dùng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còn lại dùng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không loại bỏ dòng nào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docs/07_Preprocessing_Sequence</w:t>
      </w:r>
      <w:r>
        <w:t xml:space="preserve">).</w:t>
      </w:r>
    </w:p>
    <w:bookmarkEnd w:id="12"/>
    <w:bookmarkStart w:id="13" w:name="trích-đặc-trưng-theo-thời-gian"/>
    <w:p>
      <w:pPr>
        <w:pStyle w:val="Heading3"/>
      </w:pPr>
      <w:r>
        <w:t xml:space="preserve">3.5 Trích đặc trưng theo thời gian</w:t>
      </w:r>
    </w:p>
    <w:p>
      <w:pPr>
        <w:pStyle w:val="FirstParagraph"/>
      </w:pPr>
      <w:r>
        <w:t xml:space="preserve">Thời lượng các môn khác nhau, nên mỗi phần trăm tiến độ được quy đổi ra ngày cụ thể: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cho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dòng).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chỉ giữ sự kiện tại hoặc trước ngày mốc, và pipeline hợp nhất được chạy lại cho từng mốc để tạo</w:t>
      </w:r>
      <w:r>
        <w:t xml:space="preserve"> </w:t>
      </w:r>
      <w:r>
        <w:rPr>
          <w:b/>
          <w:bCs/>
        </w:rPr>
        <w:t xml:space="preserve">sáu bộ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mỗi bộ</w:t>
      </w:r>
      <w:r>
        <w:t xml:space="preserve"> </w:t>
      </w:r>
      <w:r>
        <w:rPr>
          <w:b/>
          <w:bCs/>
        </w:rPr>
        <w:t xml:space="preserve">32.593 dòng</w:t>
      </w:r>
      <w:r>
        <w:t xml:space="preserve"> </w:t>
      </w:r>
      <w:r>
        <w:t xml:space="preserve">dùng chung</w:t>
      </w:r>
      <w:r>
        <w:t xml:space="preserve"> </w:t>
      </w:r>
      <w:r>
        <w:rPr>
          <w:b/>
          <w:bCs/>
        </w:rPr>
        <w:t xml:space="preserve">một danh sách sinh viên</w:t>
      </w:r>
      <w:r>
        <w:t xml:space="preserve"> </w:t>
      </w:r>
      <w:r>
        <w:t xml:space="preserve">(Phương án A). Tỉ lệ at-risk cố định 52,8% qua các mốc (nhãn cố định); chỉ đặc trưng tương tác/kết quả thay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phòng-tránh-rò-rỉ-và-phân-chia"/>
    <w:p>
      <w:pPr>
        <w:pStyle w:val="Heading3"/>
      </w:pPr>
      <w:r>
        <w:t xml:space="preserve">3.6 Phòng tránh rò rỉ và phân chia</w:t>
      </w:r>
    </w:p>
    <w:p>
      <w:pPr>
        <w:pStyle w:val="FirstParagraph"/>
      </w:pPr>
      <w:r>
        <w:t xml:space="preserve">Hai trục rò rỉ được kiểm soát. Trên trục</w:t>
      </w:r>
      <w:r>
        <w:t xml:space="preserve"> </w:t>
      </w:r>
      <w:r>
        <w:rPr>
          <w:b/>
          <w:bCs/>
        </w:rPr>
        <w:t xml:space="preserve">thời gian</w:t>
      </w:r>
      <w:r>
        <w:t xml:space="preserve">, ba quy tắc (loại bài nộp sau mốc; loại click sau mốc; giữ Withdrawn-trước-</w:t>
      </w:r>
      <w:r>
        <w:rPr>
          <w:i/>
          <w:iCs/>
        </w:rPr>
        <w:t xml:space="preserve">t</w:t>
      </w:r>
      <w:r>
        <w:t xml:space="preserve"> </w:t>
      </w:r>
      <w:r>
        <w:t xml:space="preserve">là at-risk) được nêu trong</w:t>
      </w:r>
      <w:r>
        <w:t xml:space="preserve"> </w:t>
      </w:r>
      <w:r>
        <w:rPr>
          <w:rStyle w:val="VerbatimChar"/>
        </w:rPr>
        <w:t xml:space="preserve">docs/02_LeakagePrevention_Rules</w:t>
      </w:r>
      <w:r>
        <w:t xml:space="preserve">. Trên trục</w:t>
      </w:r>
      <w:r>
        <w:t xml:space="preserve"> </w:t>
      </w:r>
      <w:r>
        <w:rPr>
          <w:b/>
          <w:bCs/>
        </w:rPr>
        <w:t xml:space="preserve">đặc trưng</w:t>
      </w:r>
      <w:r>
        <w:t xml:space="preserve">, trình tự</w:t>
      </w:r>
      <w:r>
        <w:t xml:space="preserve"> </w:t>
      </w:r>
      <w:r>
        <w:rPr>
          <w:b/>
          <w:bCs/>
        </w:rPr>
        <w:t xml:space="preserve">phân chia → điền khuyết → ngoại lai → mã hoá/chuẩn hoá → tái lấy mẫu</w:t>
      </w:r>
      <w:r>
        <w:t xml:space="preserve"> </w:t>
      </w:r>
      <w:r>
        <w:t xml:space="preserve">chỉ khớp mọi bộ học trên fold huấn luyện (</w:t>
      </w:r>
      <w:r>
        <w:rPr>
          <w:rStyle w:val="VerbatimChar"/>
        </w:rPr>
        <w:t xml:space="preserve">docs/07_Preprocessing_Sequence</w:t>
      </w:r>
      <w:r>
        <w:t xml:space="preserve">). Phân chia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phân tầng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dùng lại qua các mốc (</w:t>
      </w:r>
      <w:r>
        <w:rPr>
          <w:rStyle w:val="VerbatimChar"/>
        </w:rPr>
        <w:t xml:space="preserve">docs/06_SplitStrategy_Analysis</w:t>
      </w:r>
      <w:r>
        <w:t xml:space="preserve">): train ≈ 26.104 dòng, test ≈ 6.489 dòng,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, tỉ lệ lớp 0,53/0,52. CV trên tập huấn luyện dùng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;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trên lớp at-risk.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khẳng định toàn bộ:</w:t>
      </w:r>
      <w:r>
        <w:t xml:space="preserve"> </w:t>
      </w:r>
      <w:r>
        <w:rPr>
          <w:b/>
          <w:bCs/>
        </w:rPr>
        <w:t xml:space="preserve">16/16 kiểm thử đạt</w:t>
      </w:r>
      <w:r>
        <w:t xml:space="preserve">.</w:t>
      </w:r>
    </w:p>
    <w:bookmarkEnd w:id="14"/>
    <w:bookmarkStart w:id="15" w:name="khả-năng-tái-lập"/>
    <w:p>
      <w:pPr>
        <w:pStyle w:val="Heading3"/>
      </w:pPr>
      <w:r>
        <w:t xml:space="preserve">3.7 Khả năng tái lập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xuyên suốt; nguồn gốc trong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dung lượng + ngày); môi trường ghim trong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 chạy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các bước dài có checkpoint/resume; ghi parquet nguyên tử. Quy trình đầy đủ trong</w:t>
      </w:r>
      <w:r>
        <w:t xml:space="preserve"> </w:t>
      </w:r>
      <w:r>
        <w:rPr>
          <w:rStyle w:val="VerbatimChar"/>
        </w:rPr>
        <w:t xml:space="preserve">docs/10_Reproducibility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7" w:name="chương-4-phân-tích-khám-phá-dữ-liệu"/>
    <w:p>
      <w:pPr>
        <w:pStyle w:val="Heading2"/>
      </w:pPr>
      <w:r>
        <w:t xml:space="preserve">Chương 4 — Phân tích khám phá dữ liệu</w:t>
      </w:r>
    </w:p>
    <w:p>
      <w:pPr>
        <w:pStyle w:val="FirstParagraph"/>
      </w:pPr>
      <w:r>
        <w:t xml:space="preserve">Mọi biểu đồ tuân theo quy chuẩn của nhóm (</w:t>
      </w:r>
      <w:r>
        <w:rPr>
          <w:rStyle w:val="VerbatimChar"/>
        </w:rPr>
        <w:t xml:space="preserve">docs/08_Chart_Standards</w:t>
      </w:r>
      <w:r>
        <w:t xml:space="preserve">); mã phân tích trong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 </w:t>
      </w:r>
      <w:r>
        <w:t xml:space="preserve">(notebook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).</w:t>
      </w:r>
    </w:p>
    <w:bookmarkStart w:id="20" w:name="phân-phối-lớp-và-mất-cân-bằng-stt-27"/>
    <w:p>
      <w:pPr>
        <w:pStyle w:val="Heading3"/>
      </w:pPr>
      <w:r>
        <w:t xml:space="preserve">4.1 Phân phối lớp và mất cân bằng (STT 27)</w:t>
      </w:r>
    </w:p>
    <w:p>
      <w:pPr>
        <w:pStyle w:val="FirstParagraph"/>
      </w:pPr>
      <w:r>
        <w:t xml:space="preserve">Tỉ lệ at-risk thực tế là</w:t>
      </w:r>
      <w:r>
        <w:t xml:space="preserve"> </w:t>
      </w:r>
      <w:r>
        <w:rPr>
          <w:b/>
          <w:bCs/>
        </w:rPr>
        <w:t xml:space="preserve">52,8%</w:t>
      </w:r>
      <w:r>
        <w:t xml:space="preserve"> </w:t>
      </w:r>
      <w:r>
        <w:t xml:space="preserve">(tỉ số mất cân bằng 1,12 — nhẹ). Điều này loại bỏ giả định mất cân bằng nghiêm trọng nhưng vẫn biện minh cho PR-AUC/recall, vì</w:t>
      </w:r>
      <w:r>
        <w:t xml:space="preserve"> </w:t>
      </w:r>
      <w:r>
        <w:rPr>
          <w:b/>
          <w:bCs/>
        </w:rPr>
        <w:t xml:space="preserve">lớp dương at-risk là lớp không được bỏ sót</w:t>
      </w:r>
      <w:r>
        <w:t xml:space="preserve">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Phân phối lớp: final_result và nhãn nhị phân at_risk" title="" id="18" name="Picture"/>
            <a:graphic>
              <a:graphicData uri="http://schemas.openxmlformats.org/drawingml/2006/picture">
                <pic:pic>
                  <pic:nvPicPr>
                    <pic:cNvPr descr="figures/dist_class_distribu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phối lớp: final_result và nhãn nhị phân at_risk</w:t>
      </w:r>
    </w:p>
    <w:bookmarkEnd w:id="20"/>
    <w:bookmarkStart w:id="27" w:name="thống-kê-mô-tả-stt-28"/>
    <w:p>
      <w:pPr>
        <w:pStyle w:val="Heading3"/>
      </w:pPr>
      <w:r>
        <w:t xml:space="preserve">4.2 Thống kê mô tả (STT 28)</w:t>
      </w:r>
    </w:p>
    <w:p>
      <w:pPr>
        <w:pStyle w:val="FirstParagraph"/>
      </w:pPr>
      <w:r>
        <w:t xml:space="preserve">Đặc trưng tương tác</w:t>
      </w:r>
      <w:r>
        <w:t xml:space="preserve"> </w:t>
      </w:r>
      <w:r>
        <w:rPr>
          <w:b/>
          <w:bCs/>
        </w:rPr>
        <w:t xml:space="preserve">lệch phải mạnh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(độ lệch 10,6),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(3,0),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 </w:t>
      </w:r>
      <w:r>
        <w:t xml:space="preserve">(1,6) — biện minh thực nghiệm cho phép biến đổi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. Bảng đầy đủ:</w:t>
      </w:r>
      <w:r>
        <w:t xml:space="preserve"> </w:t>
      </w:r>
      <w:r>
        <w:rPr>
          <w:rStyle w:val="VerbatimChar"/>
        </w:rPr>
        <w:t xml:space="preserve">reports/eda_descriptive_stats.csv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Biểu đồ tần suất kèm KDE cho các đặc trưng định lượng chính" title="" id="22" name="Picture"/>
            <a:graphic>
              <a:graphicData uri="http://schemas.openxmlformats.org/drawingml/2006/picture">
                <pic:pic>
                  <pic:nvPicPr>
                    <pic:cNvPr descr="figures/dist_numeric_hist_kd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iểu đồ hộp để soi giá trị ngoại lai" title="" id="25" name="Picture"/>
            <a:graphic>
              <a:graphicData uri="http://schemas.openxmlformats.org/drawingml/2006/picture">
                <pic:pic>
                  <pic:nvPicPr>
                    <pic:cNvPr descr="figures/dist_numeric_boxplo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Xd8991408ab0eaf375e9b792f164fb23a0d058c6"/>
    <w:p>
      <w:pPr>
        <w:pStyle w:val="Heading3"/>
      </w:pPr>
      <w:r>
        <w:t xml:space="preserve">4.3 Phân tích song biến với biến mục tiêu (STT 36)</w:t>
      </w:r>
    </w:p>
    <w:p>
      <w:pPr>
        <w:pStyle w:val="FirstParagraph"/>
      </w:pPr>
      <w:r>
        <w:t xml:space="preserve">Chênh lệch trung bình chuẩn hoá (|Cohen’s d|) giữa hai lớp xếp hạng các đặc trưng</w:t>
      </w:r>
      <w:r>
        <w:t xml:space="preserve"> </w:t>
      </w:r>
      <w:r>
        <w:rPr>
          <w:b/>
          <w:bCs/>
        </w:rPr>
        <w:t xml:space="preserve">phân biệt</w:t>
      </w:r>
      <w:r>
        <w:t xml:space="preserve"> </w:t>
      </w:r>
      <w:r>
        <w:t xml:space="preserve">mạnh nhất: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trưng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2,55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2,05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1,58</w:t>
            </w:r>
          </w:p>
        </w:tc>
      </w:tr>
    </w:tbl>
    <w:p>
      <w:pPr>
        <w:pStyle w:val="BodyText"/>
      </w:pPr>
      <w:r>
        <w:t xml:space="preserve">Đặc trưng tương tác và kết quả chiếm ưu thế; đặc trưng nhân khẩu học yếu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0,28,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0,21).</w:t>
      </w:r>
    </w:p>
    <w:p>
      <w:pPr>
        <w:pStyle w:val="BodyText"/>
      </w:pPr>
      <w:r>
        <w:drawing>
          <wp:inline>
            <wp:extent cx="5334000" cy="3302885"/>
            <wp:effectExtent b="0" l="0" r="0" t="0"/>
            <wp:docPr descr="Đặc trưng định lượng phân theo lớp at-risk" title="" id="29" name="Picture"/>
            <a:graphic>
              <a:graphicData uri="http://schemas.openxmlformats.org/drawingml/2006/picture">
                <pic:pic>
                  <pic:nvPicPr>
                    <pic:cNvPr descr="figures/bivar_numeric_by_labe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45272"/>
            <wp:effectExtent b="0" l="0" r="0" t="0"/>
            <wp:docPr descr="Tỉ lệ at-risk theo các đặc trưng phân loại" title="" id="32" name="Picture"/>
            <a:graphic>
              <a:graphicData uri="http://schemas.openxmlformats.org/drawingml/2006/picture">
                <pic:pic>
                  <pic:nvPicPr>
                    <pic:cNvPr descr="figures/bivar_atrisk_rate_by_categ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phân-tích-tương-quan-stt-37"/>
    <w:p>
      <w:pPr>
        <w:pStyle w:val="Heading3"/>
      </w:pPr>
      <w:r>
        <w:t xml:space="preserve">4.4 Phân tích tương quan (STT 37)</w:t>
      </w:r>
    </w:p>
    <w:p>
      <w:pPr>
        <w:pStyle w:val="FirstParagraph"/>
      </w:pPr>
      <w:r>
        <w:t xml:space="preserve">Tương quan mạnh nhất với mục tiêu: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(r=0,78),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(0,72),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(0,71),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(0,63). Cặp đặc trưng–đặc trưng mạnh nhất là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(0,84).</w:t>
      </w:r>
      <w:r>
        <w:t xml:space="preserve"> </w:t>
      </w:r>
      <w:r>
        <w:rPr>
          <w:b/>
          <w:bCs/>
        </w:rPr>
        <w:t xml:space="preserve">Không đặc trưng nào tương quan ≥0,95 với mục tiêu</w:t>
      </w:r>
      <w:r>
        <w:t xml:space="preserve">, nên không có đặc trưng nghi rò rỉ.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Ma trận tương quan Pearson" title="" id="36" name="Picture"/>
            <a:graphic>
              <a:graphicData uri="http://schemas.openxmlformats.org/drawingml/2006/picture">
                <pic:pic>
                  <pic:nvPicPr>
                    <pic:cNvPr descr="figures/corr_pear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Ma trận tương quan Spearman" title="" id="39" name="Picture"/>
            <a:graphic>
              <a:graphicData uri="http://schemas.openxmlformats.org/drawingml/2006/picture">
                <pic:pic>
                  <pic:nvPicPr>
                    <pic:cNvPr descr="figures/corr_spearma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eda-theo-thời-gian-stt-38"/>
    <w:p>
      <w:pPr>
        <w:pStyle w:val="Heading3"/>
      </w:pPr>
      <w:r>
        <w:t xml:space="preserve">4.5 EDA theo thời gian (STT 38)</w:t>
      </w:r>
    </w:p>
    <w:p>
      <w:pPr>
        <w:pStyle w:val="FirstParagraph"/>
      </w:pPr>
      <w:r>
        <w:t xml:space="preserve">Khoảng cách giữa hai lớp ở trung bình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mở rộng đơn điệu —</w:t>
      </w:r>
      <w:r>
        <w:t xml:space="preserve"> </w:t>
      </w:r>
      <w:r>
        <w:rPr>
          <w:b/>
          <w:bCs/>
        </w:rPr>
        <w:t xml:space="preserve">237 → 397 → 653 → 1.027 → 1.340 → 1.616</w:t>
      </w:r>
      <w:r>
        <w:t xml:space="preserve"> </w:t>
      </w:r>
      <w:r>
        <w:t xml:space="preserve">từ t=10%→100% — và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cũng vậy. Khoảng cách điểm trung bình</w:t>
      </w:r>
      <w:r>
        <w:t xml:space="preserve"> </w:t>
      </w:r>
      <w:r>
        <w:rPr>
          <w:b/>
          <w:bCs/>
        </w:rPr>
        <w:t xml:space="preserve">bão hoà quanh t≈40%</w:t>
      </w:r>
      <w:r>
        <w:t xml:space="preserve"> </w:t>
      </w:r>
      <w:r>
        <w:t xml:space="preserve">(29,5 → 35,8 → 40,8 rồi phẳng).</w:t>
      </w:r>
    </w:p>
    <w:p>
      <w:pPr>
        <w:pStyle w:val="CaptionedFigure"/>
      </w:pPr>
      <w:r>
        <w:drawing>
          <wp:inline>
            <wp:extent cx="5334000" cy="1805132"/>
            <wp:effectExtent b="0" l="0" r="0" t="0"/>
            <wp:docPr descr="Hành vi theo thời gian phân theo lớp qua các mốc" title="" id="43" name="Picture"/>
            <a:graphic>
              <a:graphicData uri="http://schemas.openxmlformats.org/drawingml/2006/picture">
                <pic:pic>
                  <pic:nvPicPr>
                    <pic:cNvPr descr="figures/time_trends_by_lab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Hành vi theo thời gian phân theo lớp qua các mốc</w:t>
      </w:r>
    </w:p>
    <w:bookmarkEnd w:id="45"/>
    <w:bookmarkStart w:id="46" w:name="các-phát-hiện-chính-và-giả-thuyết"/>
    <w:p>
      <w:pPr>
        <w:pStyle w:val="Heading3"/>
      </w:pPr>
      <w:r>
        <w:t xml:space="preserve">4.6 Các phát hiện chính và giả thuyết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tồn tại tín hiệu sớm.</w:t>
      </w:r>
      <w:r>
        <w:t xml:space="preserve"> </w:t>
      </w:r>
      <w:r>
        <w:t xml:space="preserve">Tương tác phân biệt hai lớp từ</w:t>
      </w:r>
      <w:r>
        <w:t xml:space="preserve"> </w:t>
      </w:r>
      <w:r>
        <w:rPr>
          <w:b/>
          <w:bCs/>
        </w:rPr>
        <w:t xml:space="preserve">t=10–20%</w:t>
      </w:r>
      <w:r>
        <w:t xml:space="preserve"> </w:t>
      </w:r>
      <w:r>
        <w:t xml:space="preserve">và tín hiệu điểm gần như xác lập tại</w:t>
      </w:r>
      <w:r>
        <w:t xml:space="preserve"> </w:t>
      </w:r>
      <w:r>
        <w:rPr>
          <w:b/>
          <w:bCs/>
        </w:rPr>
        <w:t xml:space="preserve">t≈40%</w:t>
      </w:r>
      <w:r>
        <w:t xml:space="preserve">, ủng hộ khả năng dự đoán sớm đáng tin quanh 40–60% (nhất quán với Adnan và cộng sự 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hành vi &gt; nhân khẩu học.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, việc nộp bài và điểm tích luỹ là các yếu tố phân biệt hàng đầu, trong khi nhân khẩu học yếu, khớp với Tomasevic và cộng sự [2]; điều này định hướng trọng tâm đặc trưng và kỳ vọng về các đặc trưng SHAP/LIME nên xếp hạng cao (RQ2).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mất cân bằng nhẹ.</w:t>
      </w:r>
      <w:r>
        <w:t xml:space="preserve"> </w:t>
      </w:r>
      <w:r>
        <w:t xml:space="preserve">Ở mức 52,8% at-risk, tái lấy mẫu mạnh có thể chỉ cải thiện vừa phải; RQ3 sẽ so sánh none/class-weight/SMOTE/ADASYN với mốc cơ sở này bằng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đặc trưng tương tác tương quan cao.</w:t>
      </w:r>
      <w:r>
        <w:t xml:space="preserve"> </w:t>
      </w:r>
      <w:r>
        <w:t xml:space="preserve">Các đặc trưng tương tác tương quan cao (ví dụ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–</w:t>
      </w:r>
      <w:r>
        <w:rPr>
          <w:rStyle w:val="VerbatimChar"/>
        </w:rPr>
        <w:t xml:space="preserve">n_days_active</w:t>
      </w:r>
      <w:r>
        <w:t xml:space="preserve">, r=0,84) có thể khiến SHAP/LIME phân tán độ quan trọng giữa chúng, một yếu tố cần theo dõi khi đo độ ổn định giải thích (RQ2).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và cộng sự,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2026-06-14T16:06:49Z</dcterms:created>
  <dcterms:modified xsi:type="dcterms:W3CDTF">2026-06-14T16:06:49Z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