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Xb3a72c2e75bb3b0c496f8d19c0eaf0c94a5b050"/>
    <w:p>
      <w:pPr>
        <w:pStyle w:val="Heading1"/>
      </w:pPr>
      <w:r>
        <w:t xml:space="preserve">Data Standardisation and Transformation: Variable Typing, Encoding, and Scaling Strategy</w:t>
      </w:r>
    </w:p>
    <w:p>
      <w:pPr>
        <w:pStyle w:val="FirstParagraph"/>
      </w:pPr>
      <w:r>
        <w:rPr>
          <w:b/>
          <w:bCs/>
        </w:rPr>
        <w:t xml:space="preserve">DSP391m – Group 1 · Report 2 (Data Tasks), Chapter 3 · Task 3.4 — Standardisation &amp; Transformation</w:t>
      </w:r>
    </w:p>
    <w:p>
      <w:r>
        <w:pict>
          <v:rect style="width:0;height:1.5pt" o:hralign="center" o:hrstd="t" o:hr="t"/>
        </w:pict>
      </w:r>
    </w:p>
    <w:bookmarkStart w:id="9" w:name="abstract"/>
    <w:p>
      <w:pPr>
        <w:pStyle w:val="Heading2"/>
      </w:pPr>
      <w:r>
        <w:t xml:space="preserve">Abstract</w:t>
      </w:r>
    </w:p>
    <w:p>
      <w:pPr>
        <w:pStyle w:val="FirstParagraph"/>
      </w:pPr>
      <w:r>
        <w:t xml:space="preserve">This report documents the variable typing catalogue, encoding decisions, and standardisation strategy implemented in</w:t>
      </w:r>
      <w:r>
        <w:t xml:space="preserve"> </w:t>
      </w:r>
      <w:r>
        <w:rPr>
          <w:rStyle w:val="VerbatimChar"/>
        </w:rPr>
        <w:t xml:space="preserve">src/features/preprocessing.py</w:t>
      </w:r>
      <w:r>
        <w:t xml:space="preserve"> </w:t>
      </w:r>
      <w:r>
        <w:t xml:space="preserve">for the DSP391m capstone project (Group 1). The dataset, derived from the Open University Learning Analytics Dataset (OULAD), contains 28 raw and engineered features spanning clickstream interactions, demographic attributes, and academic performance indicators. Each feature is assigned to one of five type categories — numeric, ordinal, nominal, binary, or indicator — and processed by the corresponding sklearn-compatible transformer within a single</w:t>
      </w:r>
      <w:r>
        <w:t xml:space="preserve"> </w:t>
      </w:r>
      <w:r>
        <w:rPr>
          <w:rStyle w:val="VerbatimChar"/>
        </w:rPr>
        <w:t xml:space="preserve">ColumnTransformer</w:t>
      </w:r>
      <w:r>
        <w:t xml:space="preserve">. A strict anti-leakage protocol governs the order of operations: all encoders and the</w:t>
      </w:r>
      <w:r>
        <w:t xml:space="preserve"> </w:t>
      </w:r>
      <w:r>
        <w:rPr>
          <w:rStyle w:val="VerbatimChar"/>
        </w:rPr>
        <w:t xml:space="preserve">StandardScaler</w:t>
      </w:r>
      <w:r>
        <w:t xml:space="preserve"> </w:t>
      </w:r>
      <w:r>
        <w:t xml:space="preserve">are fitted exclusively on the training fold and subsequently applied to both train and test sets. The transformation stage produces a 49-column dense feature matrix, verified free of missing values, with feature names retained in</w:t>
      </w:r>
      <w:r>
        <w:t xml:space="preserve"> </w:t>
      </w:r>
      <w:r>
        <w:rPr>
          <w:rStyle w:val="VerbatimChar"/>
        </w:rPr>
        <w:t xml:space="preserve">snake_case</w:t>
      </w:r>
      <w:r>
        <w:t xml:space="preserve"> </w:t>
      </w:r>
      <w:r>
        <w:t xml:space="preserve">for downstream SHAP and LIME interpretability analysis.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Effective machine learning pipelines require that raw feature values be converted into a numeric representation that is both mathematically appropriate for each model class and free of information leakage from held-out data. For the at-risk student prediction task in DSP391m, features originate from three distinct measurement scales: continuous and discrete counts from VLE clickstream logs, ordered categorical attributes collected at enrolment, and unordered categorical identifiers. Treating all features with a single encoding strategy — for example, applying</w:t>
      </w:r>
      <w:r>
        <w:t xml:space="preserve"> </w:t>
      </w:r>
      <w:r>
        <w:rPr>
          <w:rStyle w:val="VerbatimChar"/>
        </w:rPr>
        <w:t xml:space="preserve">OneHotEncoder</w:t>
      </w:r>
      <w:r>
        <w:t xml:space="preserve"> </w:t>
      </w:r>
      <w:r>
        <w:t xml:space="preserve">to ordinal variables — would discard the rank information embedded in categories such as qualification level or deprivation band, inflating dimensionality without informational gain. Conversely, applying integer codes to nominal variables such as</w:t>
      </w:r>
      <w:r>
        <w:t xml:space="preserve"> </w:t>
      </w:r>
      <w:r>
        <w:rPr>
          <w:rStyle w:val="VerbatimChar"/>
        </w:rPr>
        <w:t xml:space="preserve">region</w:t>
      </w:r>
      <w:r>
        <w:t xml:space="preserve"> </w:t>
      </w:r>
      <w:r>
        <w:t xml:space="preserve">would impose a spurious ordinal relationship. Section 2 enumerates the variable typing catalogue that resolves these distinctions. Section 3 details each encoding method and its technical rationale. Section 4 describes the standardisation step and its anti-leakage implementation. Section 5 presents the transformation pipeline order. Section 6 reports the verified output properties.</w:t>
      </w:r>
    </w:p>
    <w:p>
      <w:r>
        <w:pict>
          <v:rect style="width:0;height:1.5pt" o:hralign="center" o:hrstd="t" o:hr="t"/>
        </w:pict>
      </w:r>
    </w:p>
    <w:bookmarkEnd w:id="10"/>
    <w:bookmarkStart w:id="11" w:name="variable-typing-catalogue"/>
    <w:p>
      <w:pPr>
        <w:pStyle w:val="Heading2"/>
      </w:pPr>
      <w:r>
        <w:t xml:space="preserve">2. Variable Typing Catalogue</w:t>
      </w:r>
    </w:p>
    <w:p>
      <w:pPr>
        <w:pStyle w:val="FirstParagraph"/>
      </w:pPr>
      <w:r>
        <w:t xml:space="preserve">The 28 input features (excluding the target</w:t>
      </w:r>
      <w:r>
        <w:t xml:space="preserve"> </w:t>
      </w:r>
      <w:r>
        <w:rPr>
          <w:rStyle w:val="VerbatimChar"/>
        </w:rPr>
        <w:t xml:space="preserve">at_risk</w:t>
      </w:r>
      <w:r>
        <w:t xml:space="preserve"> </w:t>
      </w:r>
      <w:r>
        <w:t xml:space="preserve">and identifier columns</w:t>
      </w:r>
      <w:r>
        <w:t xml:space="preserve"> </w:t>
      </w:r>
      <w:r>
        <w:rPr>
          <w:rStyle w:val="VerbatimChar"/>
        </w:rPr>
        <w:t xml:space="preserve">id_student</w:t>
      </w:r>
      <w:r>
        <w:t xml:space="preserve">,</w:t>
      </w:r>
      <w:r>
        <w:t xml:space="preserve"> </w:t>
      </w:r>
      <w:r>
        <w:rPr>
          <w:rStyle w:val="VerbatimChar"/>
        </w:rPr>
        <w:t xml:space="preserve">code_module</w:t>
      </w:r>
      <w:r>
        <w:t xml:space="preserve">,</w:t>
      </w:r>
      <w:r>
        <w:t xml:space="preserve"> </w:t>
      </w:r>
      <w:r>
        <w:rPr>
          <w:rStyle w:val="VerbatimChar"/>
        </w:rPr>
        <w:t xml:space="preserve">code_presentation</w:t>
      </w:r>
      <w:r>
        <w:t xml:space="preserve">) are partitioned into five types. The type assignment drives the choice of transformer in the subsequent</w:t>
      </w:r>
      <w:r>
        <w:t xml:space="preserve"> </w:t>
      </w:r>
      <w:r>
        <w:rPr>
          <w:rStyle w:val="VerbatimChar"/>
        </w:rPr>
        <w:t xml:space="preserve">ColumnTransformer</w:t>
      </w:r>
      <w:r>
        <w:t xml:space="preserve">.</w:t>
      </w:r>
    </w:p>
    <w:p>
      <w:pPr>
        <w:pStyle w:val="BodyText"/>
      </w:pPr>
      <w:r>
        <w:rPr>
          <w:b/>
          <w:bCs/>
        </w:rPr>
        <w:t xml:space="preserve">Table 1. Variable Typing and Encoding Assignment</w:t>
      </w:r>
    </w:p>
    <w:tbl>
      <w:tblPr>
        <w:tblStyle w:val="Table"/>
        <w:tblW w:type="pct" w:w="5000"/>
        <w:tblLayout w:type="fixed"/>
        <w:tblLook w:firstRow="1" w:lastRow="0" w:firstColumn="0" w:lastColumn="0" w:noHBand="0" w:noVBand="0" w:val="0020"/>
      </w:tblPr>
      <w:tblGrid>
        <w:gridCol w:w="1159"/>
        <w:gridCol w:w="1352"/>
        <w:gridCol w:w="2124"/>
        <w:gridCol w:w="3283"/>
      </w:tblGrid>
      <w:tr>
        <w:trPr>
          <w:tblHeader w:val="on"/>
        </w:trPr>
        <w:tc>
          <w:tcPr/>
          <w:p>
            <w:pPr>
              <w:pStyle w:val="Compact"/>
            </w:pPr>
            <w:r>
              <w:t xml:space="preserve">Type</w:t>
            </w:r>
          </w:p>
        </w:tc>
        <w:tc>
          <w:tcPr/>
          <w:p>
            <w:pPr>
              <w:pStyle w:val="Compact"/>
            </w:pPr>
            <w:r>
              <w:t xml:space="preserve">Count</w:t>
            </w:r>
          </w:p>
        </w:tc>
        <w:tc>
          <w:tcPr/>
          <w:p>
            <w:pPr>
              <w:pStyle w:val="Compact"/>
            </w:pPr>
            <w:r>
              <w:t xml:space="preserve">Variables</w:t>
            </w:r>
          </w:p>
        </w:tc>
        <w:tc>
          <w:tcPr/>
          <w:p>
            <w:pPr>
              <w:pStyle w:val="Compact"/>
            </w:pPr>
            <w:r>
              <w:t xml:space="preserve">Encoder / Scaler</w:t>
            </w:r>
          </w:p>
        </w:tc>
      </w:tr>
      <w:tr>
        <w:tc>
          <w:tcPr/>
          <w:p>
            <w:pPr>
              <w:pStyle w:val="Compact"/>
            </w:pPr>
            <w:r>
              <w:t xml:space="preserve">Numeric</w:t>
            </w:r>
          </w:p>
        </w:tc>
        <w:tc>
          <w:tcPr/>
          <w:p>
            <w:pPr>
              <w:pStyle w:val="Compact"/>
            </w:pPr>
            <w:r>
              <w:t xml:space="preserve">19</w:t>
            </w:r>
          </w:p>
        </w:tc>
        <w:tc>
          <w:tcPr/>
          <w:p>
            <w:pPr>
              <w:pStyle w:val="Compact"/>
            </w:pPr>
            <w:r>
              <w:rPr>
                <w:rStyle w:val="VerbatimChar"/>
              </w:rPr>
              <w:t xml:space="preserve">num_of_prev_attempts</w:t>
            </w:r>
            <w:r>
              <w:t xml:space="preserve">,</w:t>
            </w:r>
            <w:r>
              <w:t xml:space="preserve"> </w:t>
            </w:r>
            <w:r>
              <w:rPr>
                <w:rStyle w:val="VerbatimChar"/>
              </w:rPr>
              <w:t xml:space="preserve">studied_credits</w:t>
            </w:r>
            <w:r>
              <w:t xml:space="preserve">,</w:t>
            </w:r>
            <w:r>
              <w:t xml:space="preserve"> </w:t>
            </w:r>
            <w:r>
              <w:rPr>
                <w:rStyle w:val="VerbatimChar"/>
              </w:rPr>
              <w:t xml:space="preserve">date_registration</w:t>
            </w:r>
            <w:r>
              <w:t xml:space="preserve">,</w:t>
            </w:r>
            <w:r>
              <w:t xml:space="preserve"> </w:t>
            </w:r>
            <w:r>
              <w:rPr>
                <w:rStyle w:val="VerbatimChar"/>
              </w:rPr>
              <w:t xml:space="preserve">total_clicks</w:t>
            </w:r>
            <w:r>
              <w:t xml:space="preserve">,</w:t>
            </w:r>
            <w:r>
              <w:t xml:space="preserve"> </w:t>
            </w:r>
            <w:r>
              <w:rPr>
                <w:rStyle w:val="VerbatimChar"/>
              </w:rPr>
              <w:t xml:space="preserve">n_days_active</w:t>
            </w:r>
            <w:r>
              <w:t xml:space="preserve">,</w:t>
            </w:r>
            <w:r>
              <w:t xml:space="preserve"> </w:t>
            </w:r>
            <w:r>
              <w:rPr>
                <w:rStyle w:val="VerbatimChar"/>
              </w:rPr>
              <w:t xml:space="preserve">clicks_forumng</w:t>
            </w:r>
            <w:r>
              <w:t xml:space="preserve">,</w:t>
            </w:r>
            <w:r>
              <w:t xml:space="preserve"> </w:t>
            </w:r>
            <w:r>
              <w:rPr>
                <w:rStyle w:val="VerbatimChar"/>
              </w:rPr>
              <w:t xml:space="preserve">clicks_oucontent</w:t>
            </w:r>
            <w:r>
              <w:t xml:space="preserve">,</w:t>
            </w:r>
            <w:r>
              <w:t xml:space="preserve"> </w:t>
            </w:r>
            <w:r>
              <w:rPr>
                <w:rStyle w:val="VerbatimChar"/>
              </w:rPr>
              <w:t xml:space="preserve">clicks_resource</w:t>
            </w:r>
            <w:r>
              <w:t xml:space="preserve">,</w:t>
            </w:r>
            <w:r>
              <w:t xml:space="preserve"> </w:t>
            </w:r>
            <w:r>
              <w:rPr>
                <w:rStyle w:val="VerbatimChar"/>
              </w:rPr>
              <w:t xml:space="preserve">clicks_homepage</w:t>
            </w:r>
            <w:r>
              <w:t xml:space="preserve">,</w:t>
            </w:r>
            <w:r>
              <w:t xml:space="preserve"> </w:t>
            </w:r>
            <w:r>
              <w:rPr>
                <w:rStyle w:val="VerbatimChar"/>
              </w:rPr>
              <w:t xml:space="preserve">clicks_oucollaborate</w:t>
            </w:r>
            <w:r>
              <w:t xml:space="preserve">,</w:t>
            </w:r>
            <w:r>
              <w:t xml:space="preserve"> </w:t>
            </w:r>
            <w:r>
              <w:rPr>
                <w:rStyle w:val="VerbatimChar"/>
              </w:rPr>
              <w:t xml:space="preserve">clicks_quiz</w:t>
            </w:r>
            <w:r>
              <w:t xml:space="preserve">,</w:t>
            </w:r>
            <w:r>
              <w:t xml:space="preserve"> </w:t>
            </w:r>
            <w:r>
              <w:rPr>
                <w:rStyle w:val="VerbatimChar"/>
              </w:rPr>
              <w:t xml:space="preserve">clicks_subpage</w:t>
            </w:r>
            <w:r>
              <w:t xml:space="preserve">,</w:t>
            </w:r>
            <w:r>
              <w:t xml:space="preserve"> </w:t>
            </w:r>
            <w:r>
              <w:rPr>
                <w:rStyle w:val="VerbatimChar"/>
              </w:rPr>
              <w:t xml:space="preserve">clicks_url</w:t>
            </w:r>
            <w:r>
              <w:t xml:space="preserve">,</w:t>
            </w:r>
            <w:r>
              <w:t xml:space="preserve"> </w:t>
            </w:r>
            <w:r>
              <w:rPr>
                <w:rStyle w:val="VerbatimChar"/>
              </w:rPr>
              <w:t xml:space="preserve">max_clicks_single_day</w:t>
            </w:r>
            <w:r>
              <w:t xml:space="preserve">,</w:t>
            </w:r>
            <w:r>
              <w:t xml:space="preserve"> </w:t>
            </w:r>
            <w:r>
              <w:rPr>
                <w:rStyle w:val="VerbatimChar"/>
              </w:rPr>
              <w:t xml:space="preserve">mean_clicks_per_active_day</w:t>
            </w:r>
            <w:r>
              <w:t xml:space="preserve">,</w:t>
            </w:r>
            <w:r>
              <w:t xml:space="preserve"> </w:t>
            </w:r>
            <w:r>
              <w:rPr>
                <w:rStyle w:val="VerbatimChar"/>
              </w:rPr>
              <w:t xml:space="preserve">days_since_last_activity</w:t>
            </w:r>
            <w:r>
              <w:t xml:space="preserve">,</w:t>
            </w:r>
            <w:r>
              <w:t xml:space="preserve"> </w:t>
            </w:r>
            <w:r>
              <w:rPr>
                <w:rStyle w:val="VerbatimChar"/>
              </w:rPr>
              <w:t xml:space="preserve">mean_score_to_date</w:t>
            </w:r>
            <w:r>
              <w:t xml:space="preserve">,</w:t>
            </w:r>
            <w:r>
              <w:t xml:space="preserve"> </w:t>
            </w:r>
            <w:r>
              <w:rPr>
                <w:rStyle w:val="VerbatimChar"/>
              </w:rPr>
              <w:t xml:space="preserve">n_assessments_submitted</w:t>
            </w:r>
            <w:r>
              <w:t xml:space="preserve">,</w:t>
            </w:r>
            <w:r>
              <w:t xml:space="preserve"> </w:t>
            </w:r>
            <w:r>
              <w:rPr>
                <w:rStyle w:val="VerbatimChar"/>
              </w:rPr>
              <w:t xml:space="preserve">weighted_score_to_date</w:t>
            </w:r>
          </w:p>
        </w:tc>
        <w:tc>
          <w:tcPr/>
          <w:p>
            <w:pPr>
              <w:pStyle w:val="Compact"/>
            </w:pPr>
            <w:r>
              <w:rPr>
                <w:rStyle w:val="VerbatimChar"/>
              </w:rPr>
              <w:t xml:space="preserve">StandardScaler</w:t>
            </w:r>
            <w:r>
              <w:t xml:space="preserve"> </w:t>
            </w:r>
            <w:r>
              <w:t xml:space="preserve">(some features log1p / winsorize-transformed in the outlier-handling stage before scaling)</w:t>
            </w:r>
          </w:p>
        </w:tc>
      </w:tr>
      <w:tr>
        <w:tc>
          <w:tcPr/>
          <w:p>
            <w:pPr>
              <w:pStyle w:val="Compact"/>
            </w:pPr>
            <w:r>
              <w:t xml:space="preserve">Ordinal</w:t>
            </w:r>
          </w:p>
        </w:tc>
        <w:tc>
          <w:tcPr/>
          <w:p>
            <w:pPr>
              <w:pStyle w:val="Compact"/>
            </w:pPr>
            <w:r>
              <w:t xml:space="preserve">3</w:t>
            </w:r>
          </w:p>
        </w:tc>
        <w:tc>
          <w:tcPr/>
          <w:p>
            <w:pPr>
              <w:pStyle w:val="Compact"/>
            </w:pPr>
            <w:r>
              <w:rPr>
                <w:rStyle w:val="VerbatimChar"/>
              </w:rPr>
              <w:t xml:space="preserve">highest_education</w:t>
            </w:r>
            <w:r>
              <w:t xml:space="preserve">,</w:t>
            </w:r>
            <w:r>
              <w:t xml:space="preserve"> </w:t>
            </w:r>
            <w:r>
              <w:rPr>
                <w:rStyle w:val="VerbatimChar"/>
              </w:rPr>
              <w:t xml:space="preserve">imd_band</w:t>
            </w:r>
            <w:r>
              <w:t xml:space="preserve">,</w:t>
            </w:r>
            <w:r>
              <w:t xml:space="preserve"> </w:t>
            </w:r>
            <w:r>
              <w:rPr>
                <w:rStyle w:val="VerbatimChar"/>
              </w:rPr>
              <w:t xml:space="preserve">age_band</w:t>
            </w:r>
          </w:p>
        </w:tc>
        <w:tc>
          <w:tcPr/>
          <w:p>
            <w:pPr>
              <w:pStyle w:val="Compact"/>
            </w:pPr>
            <w:r>
              <w:rPr>
                <w:rStyle w:val="VerbatimChar"/>
              </w:rPr>
              <w:t xml:space="preserve">OrdinalEncoder</w:t>
            </w:r>
            <w:r>
              <w:t xml:space="preserve"> </w:t>
            </w:r>
            <w:r>
              <w:t xml:space="preserve">with explicit, fixed category order</w:t>
            </w:r>
          </w:p>
        </w:tc>
      </w:tr>
      <w:tr>
        <w:tc>
          <w:tcPr/>
          <w:p>
            <w:pPr>
              <w:pStyle w:val="Compact"/>
            </w:pPr>
            <w:r>
              <w:t xml:space="preserve">Nominal</w:t>
            </w:r>
          </w:p>
        </w:tc>
        <w:tc>
          <w:tcPr/>
          <w:p>
            <w:pPr>
              <w:pStyle w:val="Compact"/>
            </w:pPr>
            <w:r>
              <w:t xml:space="preserve">3</w:t>
            </w:r>
          </w:p>
        </w:tc>
        <w:tc>
          <w:tcPr/>
          <w:p>
            <w:pPr>
              <w:pStyle w:val="Compact"/>
            </w:pPr>
            <w:r>
              <w:rPr>
                <w:rStyle w:val="VerbatimChar"/>
              </w:rPr>
              <w:t xml:space="preserve">region</w:t>
            </w:r>
            <w:r>
              <w:t xml:space="preserve">,</w:t>
            </w:r>
            <w:r>
              <w:t xml:space="preserve"> </w:t>
            </w:r>
            <w:r>
              <w:rPr>
                <w:rStyle w:val="VerbatimChar"/>
              </w:rPr>
              <w:t xml:space="preserve">code_module</w:t>
            </w:r>
            <w:r>
              <w:t xml:space="preserve">,</w:t>
            </w:r>
            <w:r>
              <w:t xml:space="preserve"> </w:t>
            </w:r>
            <w:r>
              <w:rPr>
                <w:rStyle w:val="VerbatimChar"/>
              </w:rPr>
              <w:t xml:space="preserve">code_presentation</w:t>
            </w:r>
          </w:p>
        </w:tc>
        <w:tc>
          <w:tcPr/>
          <w:p>
            <w:pPr>
              <w:pStyle w:val="Compact"/>
            </w:pPr>
            <w:r>
              <w:rPr>
                <w:rStyle w:val="VerbatimChar"/>
              </w:rPr>
              <w:t xml:space="preserve">OneHotEncoder</w:t>
            </w:r>
          </w:p>
        </w:tc>
      </w:tr>
      <w:tr>
        <w:tc>
          <w:tcPr/>
          <w:p>
            <w:pPr>
              <w:pStyle w:val="Compact"/>
            </w:pPr>
            <w:r>
              <w:t xml:space="preserve">Binary</w:t>
            </w:r>
          </w:p>
        </w:tc>
        <w:tc>
          <w:tcPr/>
          <w:p>
            <w:pPr>
              <w:pStyle w:val="Compact"/>
            </w:pPr>
            <w:r>
              <w:t xml:space="preserve">2</w:t>
            </w:r>
          </w:p>
        </w:tc>
        <w:tc>
          <w:tcPr/>
          <w:p>
            <w:pPr>
              <w:pStyle w:val="Compact"/>
            </w:pPr>
            <w:r>
              <w:rPr>
                <w:rStyle w:val="VerbatimChar"/>
              </w:rPr>
              <w:t xml:space="preserve">gender</w:t>
            </w:r>
            <w:r>
              <w:t xml:space="preserve">,</w:t>
            </w:r>
            <w:r>
              <w:t xml:space="preserve"> </w:t>
            </w:r>
            <w:r>
              <w:rPr>
                <w:rStyle w:val="VerbatimChar"/>
              </w:rPr>
              <w:t xml:space="preserve">disability</w:t>
            </w:r>
          </w:p>
        </w:tc>
        <w:tc>
          <w:tcPr/>
          <w:p>
            <w:pPr>
              <w:pStyle w:val="Compact"/>
            </w:pPr>
            <w:r>
              <w:t xml:space="preserve">Direct 0/1 mapping via custom</w:t>
            </w:r>
            <w:r>
              <w:t xml:space="preserve"> </w:t>
            </w:r>
            <w:r>
              <w:rPr>
                <w:rStyle w:val="VerbatimChar"/>
              </w:rPr>
              <w:t xml:space="preserve">BinaryEncoder</w:t>
            </w:r>
          </w:p>
        </w:tc>
      </w:tr>
      <w:tr>
        <w:tc>
          <w:tcPr/>
          <w:p>
            <w:pPr>
              <w:pStyle w:val="Compact"/>
            </w:pPr>
            <w:r>
              <w:t xml:space="preserve">Indicator</w:t>
            </w:r>
          </w:p>
        </w:tc>
        <w:tc>
          <w:tcPr/>
          <w:p>
            <w:pPr>
              <w:pStyle w:val="Compact"/>
            </w:pPr>
            <w:r>
              <w:t xml:space="preserve">1</w:t>
            </w:r>
          </w:p>
        </w:tc>
        <w:tc>
          <w:tcPr/>
          <w:p>
            <w:pPr>
              <w:pStyle w:val="Compact"/>
            </w:pPr>
            <w:r>
              <w:rPr>
                <w:rStyle w:val="VerbatimChar"/>
              </w:rPr>
              <w:t xml:space="preserve">not_submitted</w:t>
            </w:r>
          </w:p>
        </w:tc>
        <w:tc>
          <w:tcPr/>
          <w:p>
            <w:pPr>
              <w:pStyle w:val="Compact"/>
            </w:pPr>
            <w:r>
              <w:t xml:space="preserve">Passthrough (already 0/1 from feature engineering)</w:t>
            </w:r>
          </w:p>
        </w:tc>
      </w:tr>
    </w:tbl>
    <w:p>
      <w:pPr>
        <w:pStyle w:val="BodyText"/>
      </w:pPr>
      <w:r>
        <w:rPr>
          <w:b/>
          <w:bCs/>
        </w:rPr>
        <w:t xml:space="preserve">Notes on numeric sub-classifications.</w:t>
      </w:r>
      <w:r>
        <w:t xml:space="preserve"> </w:t>
      </w:r>
      <w:r>
        <w:t xml:space="preserve">Within the 19 numeric features, VLE click counts (</w:t>
      </w:r>
      <w:r>
        <w:rPr>
          <w:rStyle w:val="VerbatimChar"/>
        </w:rPr>
        <w:t xml:space="preserve">total_clicks</w:t>
      </w:r>
      <w:r>
        <w:t xml:space="preserve">,</w:t>
      </w:r>
      <w:r>
        <w:t xml:space="preserve"> </w:t>
      </w:r>
      <w:r>
        <w:rPr>
          <w:rStyle w:val="VerbatimChar"/>
        </w:rPr>
        <w:t xml:space="preserve">n_days_active</w:t>
      </w:r>
      <w:r>
        <w:t xml:space="preserve">, and all eight</w:t>
      </w:r>
      <w:r>
        <w:t xml:space="preserve"> </w:t>
      </w:r>
      <w:r>
        <w:rPr>
          <w:rStyle w:val="VerbatimChar"/>
        </w:rPr>
        <w:t xml:space="preserve">clicks_&lt;type&gt;</w:t>
      </w:r>
      <w:r>
        <w:t xml:space="preserve"> </w:t>
      </w:r>
      <w:r>
        <w:t xml:space="preserve">columns, plus</w:t>
      </w:r>
      <w:r>
        <w:t xml:space="preserve"> </w:t>
      </w:r>
      <w:r>
        <w:rPr>
          <w:rStyle w:val="VerbatimChar"/>
        </w:rPr>
        <w:t xml:space="preserve">max_clicks_single_day</w:t>
      </w:r>
      <w:r>
        <w:t xml:space="preserve"> </w:t>
      </w:r>
      <w:r>
        <w:t xml:space="preserve">and</w:t>
      </w:r>
      <w:r>
        <w:t xml:space="preserve"> </w:t>
      </w:r>
      <w:r>
        <w:rPr>
          <w:rStyle w:val="VerbatimChar"/>
        </w:rPr>
        <w:t xml:space="preserve">mean_clicks_per_active_day</w:t>
      </w:r>
      <w:r>
        <w:t xml:space="preserve">) exhibit strong right-skew and are pre-transformed with</w:t>
      </w:r>
      <w:r>
        <w:t xml:space="preserve"> </w:t>
      </w:r>
      <w:r>
        <w:rPr>
          <w:rStyle w:val="VerbatimChar"/>
        </w:rPr>
        <w:t xml:space="preserve">log1p</w:t>
      </w:r>
      <w:r>
        <w:t xml:space="preserve"> </w:t>
      </w:r>
      <w:r>
        <w:t xml:space="preserve">before</w:t>
      </w:r>
      <w:r>
        <w:t xml:space="preserve"> </w:t>
      </w:r>
      <w:r>
        <w:rPr>
          <w:rStyle w:val="VerbatimChar"/>
        </w:rPr>
        <w:t xml:space="preserve">StandardScaler</w:t>
      </w:r>
      <w:r>
        <w:t xml:space="preserve"> </w:t>
      </w:r>
      <w:r>
        <w:t xml:space="preserve">is applied. The variables</w:t>
      </w:r>
      <w:r>
        <w:t xml:space="preserve"> </w:t>
      </w:r>
      <w:r>
        <w:rPr>
          <w:rStyle w:val="VerbatimChar"/>
        </w:rPr>
        <w:t xml:space="preserve">studied_credits</w:t>
      </w:r>
      <w:r>
        <w:t xml:space="preserve">,</w:t>
      </w:r>
      <w:r>
        <w:t xml:space="preserve"> </w:t>
      </w:r>
      <w:r>
        <w:rPr>
          <w:rStyle w:val="VerbatimChar"/>
        </w:rPr>
        <w:t xml:space="preserve">num_of_prev_attempts</w:t>
      </w:r>
      <w:r>
        <w:t xml:space="preserve">,</w:t>
      </w:r>
      <w:r>
        <w:t xml:space="preserve"> </w:t>
      </w:r>
      <w:r>
        <w:rPr>
          <w:rStyle w:val="VerbatimChar"/>
        </w:rPr>
        <w:t xml:space="preserve">weighted_score_to_date</w:t>
      </w:r>
      <w:r>
        <w:t xml:space="preserve">, and</w:t>
      </w:r>
      <w:r>
        <w:t xml:space="preserve"> </w:t>
      </w:r>
      <w:r>
        <w:rPr>
          <w:rStyle w:val="VerbatimChar"/>
        </w:rPr>
        <w:t xml:space="preserve">days_since_last_activity</w:t>
      </w:r>
      <w:r>
        <w:t xml:space="preserve"> </w:t>
      </w:r>
      <w:r>
        <w:t xml:space="preserve">are winsorised at the 1st and 99th percentiles. Three variables —</w:t>
      </w:r>
      <w:r>
        <w:t xml:space="preserve"> </w:t>
      </w:r>
      <w:r>
        <w:rPr>
          <w:rStyle w:val="VerbatimChar"/>
        </w:rPr>
        <w:t xml:space="preserve">mean_score_to_date</w:t>
      </w:r>
      <w:r>
        <w:t xml:space="preserve">,</w:t>
      </w:r>
      <w:r>
        <w:t xml:space="preserve"> </w:t>
      </w:r>
      <w:r>
        <w:rPr>
          <w:rStyle w:val="VerbatimChar"/>
        </w:rPr>
        <w:t xml:space="preserve">n_assessments_submitted</w:t>
      </w:r>
      <w:r>
        <w:t xml:space="preserve">, and</w:t>
      </w:r>
      <w:r>
        <w:t xml:space="preserve"> </w:t>
      </w:r>
      <w:r>
        <w:rPr>
          <w:rStyle w:val="VerbatimChar"/>
        </w:rPr>
        <w:t xml:space="preserve">date_registration</w:t>
      </w:r>
      <w:r>
        <w:t xml:space="preserve"> </w:t>
      </w:r>
      <w:r>
        <w:t xml:space="preserve">— receive no outlier transformation.</w:t>
      </w:r>
    </w:p>
    <w:p>
      <w:r>
        <w:pict>
          <v:rect style="width:0;height:1.5pt" o:hralign="center" o:hrstd="t" o:hr="t"/>
        </w:pict>
      </w:r>
    </w:p>
    <w:bookmarkEnd w:id="11"/>
    <w:bookmarkStart w:id="16" w:name="encoding-methods-and-rationale"/>
    <w:p>
      <w:pPr>
        <w:pStyle w:val="Heading2"/>
      </w:pPr>
      <w:r>
        <w:t xml:space="preserve">3. Encoding Methods and Rationale</w:t>
      </w:r>
    </w:p>
    <w:bookmarkStart w:id="12" w:name="ordinalencoder-ordinal-features"/>
    <w:p>
      <w:pPr>
        <w:pStyle w:val="Heading3"/>
      </w:pPr>
      <w:r>
        <w:t xml:space="preserve">3.1 OrdinalEncoder (ordinal features)</w:t>
      </w:r>
    </w:p>
    <w:p>
      <w:pPr>
        <w:pStyle w:val="FirstParagraph"/>
      </w:pPr>
      <w:r>
        <w:t xml:space="preserve">Ordinal variables possess an intrinsic rank ordering that carries predictive information. Encoding them as integers 0, 1, 2, … k−1 preserves this ordering with no increase in dimensionality.</w:t>
      </w:r>
      <w:r>
        <w:t xml:space="preserve"> </w:t>
      </w:r>
      <w:r>
        <w:rPr>
          <w:rStyle w:val="VerbatimChar"/>
        </w:rPr>
        <w:t xml:space="preserve">OneHotEncoder</w:t>
      </w:r>
      <w:r>
        <w:t xml:space="preserve"> </w:t>
      </w:r>
      <w:r>
        <w:t xml:space="preserve">would destroy the rank relationship; therefore it is explicitly excluded for these variables.</w:t>
      </w:r>
    </w:p>
    <w:p>
      <w:pPr>
        <w:pStyle w:val="BodyText"/>
      </w:pPr>
      <w:r>
        <w:t xml:space="preserve">The exact category orders fixed in</w:t>
      </w:r>
      <w:r>
        <w:t xml:space="preserve"> </w:t>
      </w:r>
      <w:r>
        <w:rPr>
          <w:rStyle w:val="VerbatimChar"/>
        </w:rPr>
        <w:t xml:space="preserve">ORDINAL_ORDERS</w:t>
      </w:r>
      <w:r>
        <w:t xml:space="preserve"> </w:t>
      </w:r>
      <w:r>
        <w:t xml:space="preserve">are:</w:t>
      </w:r>
    </w:p>
    <w:p>
      <w:pPr>
        <w:pStyle w:val="Compact"/>
        <w:numPr>
          <w:ilvl w:val="0"/>
          <w:numId w:val="1001"/>
        </w:numPr>
      </w:pPr>
      <w:r>
        <w:rPr>
          <w:rStyle w:val="VerbatimChar"/>
        </w:rPr>
        <w:t xml:space="preserve">highest_education</w:t>
      </w:r>
      <w:r>
        <w:t xml:space="preserve">:</w:t>
      </w:r>
      <w:r>
        <w:t xml:space="preserve"> </w:t>
      </w:r>
      <w:r>
        <w:rPr>
          <w:rStyle w:val="VerbatimChar"/>
        </w:rPr>
        <w:t xml:space="preserve">No Formal quals</w:t>
      </w:r>
      <w:r>
        <w:t xml:space="preserve"> </w:t>
      </w:r>
      <w:r>
        <w:t xml:space="preserve">&lt;</w:t>
      </w:r>
      <w:r>
        <w:t xml:space="preserve"> </w:t>
      </w:r>
      <w:r>
        <w:rPr>
          <w:rStyle w:val="VerbatimChar"/>
        </w:rPr>
        <w:t xml:space="preserve">Lower Than A Level</w:t>
      </w:r>
      <w:r>
        <w:t xml:space="preserve"> </w:t>
      </w:r>
      <w:r>
        <w:t xml:space="preserve">&lt;</w:t>
      </w:r>
      <w:r>
        <w:t xml:space="preserve"> </w:t>
      </w:r>
      <w:r>
        <w:rPr>
          <w:rStyle w:val="VerbatimChar"/>
        </w:rPr>
        <w:t xml:space="preserve">A Level or Equivalent</w:t>
      </w:r>
      <w:r>
        <w:t xml:space="preserve"> </w:t>
      </w:r>
      <w:r>
        <w:t xml:space="preserve">&lt;</w:t>
      </w:r>
      <w:r>
        <w:t xml:space="preserve"> </w:t>
      </w:r>
      <w:r>
        <w:rPr>
          <w:rStyle w:val="VerbatimChar"/>
        </w:rPr>
        <w:t xml:space="preserve">HE Qualification</w:t>
      </w:r>
      <w:r>
        <w:t xml:space="preserve"> </w:t>
      </w:r>
      <w:r>
        <w:t xml:space="preserve">&lt;</w:t>
      </w:r>
      <w:r>
        <w:t xml:space="preserve"> </w:t>
      </w:r>
      <w:r>
        <w:rPr>
          <w:rStyle w:val="VerbatimChar"/>
        </w:rPr>
        <w:t xml:space="preserve">Post Graduate Qualification</w:t>
      </w:r>
    </w:p>
    <w:p>
      <w:pPr>
        <w:pStyle w:val="Compact"/>
        <w:numPr>
          <w:ilvl w:val="0"/>
          <w:numId w:val="1001"/>
        </w:numPr>
      </w:pPr>
      <w:r>
        <w:rPr>
          <w:rStyle w:val="VerbatimChar"/>
        </w:rPr>
        <w:t xml:space="preserve">imd_band</w:t>
      </w:r>
      <w:r>
        <w:t xml:space="preserve">:</w:t>
      </w:r>
      <w:r>
        <w:t xml:space="preserve"> </w:t>
      </w:r>
      <w:r>
        <w:rPr>
          <w:rStyle w:val="VerbatimChar"/>
        </w:rPr>
        <w:t xml:space="preserve">Unknown</w:t>
      </w:r>
      <w:r>
        <w:t xml:space="preserve"> </w:t>
      </w:r>
      <w:r>
        <w:t xml:space="preserve">&lt;</w:t>
      </w:r>
      <w:r>
        <w:t xml:space="preserve"> </w:t>
      </w:r>
      <w:r>
        <w:rPr>
          <w:rStyle w:val="VerbatimChar"/>
        </w:rPr>
        <w:t xml:space="preserve">0-10%</w:t>
      </w:r>
      <w:r>
        <w:t xml:space="preserve"> </w:t>
      </w:r>
      <w:r>
        <w:t xml:space="preserve">&lt;</w:t>
      </w:r>
      <w:r>
        <w:t xml:space="preserve"> </w:t>
      </w:r>
      <w:r>
        <w:rPr>
          <w:rStyle w:val="VerbatimChar"/>
        </w:rPr>
        <w:t xml:space="preserve">10-20</w:t>
      </w:r>
      <w:r>
        <w:t xml:space="preserve"> </w:t>
      </w:r>
      <w:r>
        <w:t xml:space="preserve">&lt;</w:t>
      </w:r>
      <w:r>
        <w:t xml:space="preserve"> </w:t>
      </w:r>
      <w:r>
        <w:rPr>
          <w:rStyle w:val="VerbatimChar"/>
        </w:rPr>
        <w:t xml:space="preserve">20-30%</w:t>
      </w:r>
      <w:r>
        <w:t xml:space="preserve"> </w:t>
      </w:r>
      <w:r>
        <w:t xml:space="preserve">&lt;</w:t>
      </w:r>
      <w:r>
        <w:t xml:space="preserve"> </w:t>
      </w:r>
      <w:r>
        <w:rPr>
          <w:rStyle w:val="VerbatimChar"/>
        </w:rPr>
        <w:t xml:space="preserve">30-40%</w:t>
      </w:r>
      <w:r>
        <w:t xml:space="preserve"> </w:t>
      </w:r>
      <w:r>
        <w:t xml:space="preserve">&lt;</w:t>
      </w:r>
      <w:r>
        <w:t xml:space="preserve"> </w:t>
      </w:r>
      <w:r>
        <w:rPr>
          <w:rStyle w:val="VerbatimChar"/>
        </w:rPr>
        <w:t xml:space="preserve">40-50%</w:t>
      </w:r>
      <w:r>
        <w:t xml:space="preserve"> </w:t>
      </w:r>
      <w:r>
        <w:t xml:space="preserve">&lt;</w:t>
      </w:r>
      <w:r>
        <w:t xml:space="preserve"> </w:t>
      </w:r>
      <w:r>
        <w:rPr>
          <w:rStyle w:val="VerbatimChar"/>
        </w:rPr>
        <w:t xml:space="preserve">50-60%</w:t>
      </w:r>
      <w:r>
        <w:t xml:space="preserve"> </w:t>
      </w:r>
      <w:r>
        <w:t xml:space="preserve">&lt;</w:t>
      </w:r>
      <w:r>
        <w:t xml:space="preserve"> </w:t>
      </w:r>
      <w:r>
        <w:rPr>
          <w:rStyle w:val="VerbatimChar"/>
        </w:rPr>
        <w:t xml:space="preserve">60-70%</w:t>
      </w:r>
      <w:r>
        <w:t xml:space="preserve"> </w:t>
      </w:r>
      <w:r>
        <w:t xml:space="preserve">&lt;</w:t>
      </w:r>
      <w:r>
        <w:t xml:space="preserve"> </w:t>
      </w:r>
      <w:r>
        <w:rPr>
          <w:rStyle w:val="VerbatimChar"/>
        </w:rPr>
        <w:t xml:space="preserve">70-80%</w:t>
      </w:r>
      <w:r>
        <w:t xml:space="preserve"> </w:t>
      </w:r>
      <w:r>
        <w:t xml:space="preserve">&lt;</w:t>
      </w:r>
      <w:r>
        <w:t xml:space="preserve"> </w:t>
      </w:r>
      <w:r>
        <w:rPr>
          <w:rStyle w:val="VerbatimChar"/>
        </w:rPr>
        <w:t xml:space="preserve">80-90%</w:t>
      </w:r>
      <w:r>
        <w:t xml:space="preserve"> </w:t>
      </w:r>
      <w:r>
        <w:t xml:space="preserve">&lt;</w:t>
      </w:r>
      <w:r>
        <w:t xml:space="preserve"> </w:t>
      </w:r>
      <w:r>
        <w:rPr>
          <w:rStyle w:val="VerbatimChar"/>
        </w:rPr>
        <w:t xml:space="preserve">90-100%</w:t>
      </w:r>
    </w:p>
    <w:p>
      <w:pPr>
        <w:pStyle w:val="Compact"/>
        <w:numPr>
          <w:ilvl w:val="0"/>
          <w:numId w:val="1001"/>
        </w:numPr>
      </w:pPr>
      <w:r>
        <w:rPr>
          <w:rStyle w:val="VerbatimChar"/>
        </w:rPr>
        <w:t xml:space="preserve">age_band</w:t>
      </w:r>
      <w:r>
        <w:t xml:space="preserve">:</w:t>
      </w:r>
      <w:r>
        <w:t xml:space="preserve"> </w:t>
      </w:r>
      <w:r>
        <w:rPr>
          <w:rStyle w:val="VerbatimChar"/>
        </w:rPr>
        <w:t xml:space="preserve">0-35</w:t>
      </w:r>
      <w:r>
        <w:t xml:space="preserve"> </w:t>
      </w:r>
      <w:r>
        <w:t xml:space="preserve">&lt;</w:t>
      </w:r>
      <w:r>
        <w:t xml:space="preserve"> </w:t>
      </w:r>
      <w:r>
        <w:rPr>
          <w:rStyle w:val="VerbatimChar"/>
        </w:rPr>
        <w:t xml:space="preserve">35-55</w:t>
      </w:r>
      <w:r>
        <w:t xml:space="preserve"> </w:t>
      </w:r>
      <w:r>
        <w:t xml:space="preserve">&lt;</w:t>
      </w:r>
      <w:r>
        <w:t xml:space="preserve"> </w:t>
      </w:r>
      <w:r>
        <w:rPr>
          <w:rStyle w:val="VerbatimChar"/>
        </w:rPr>
        <w:t xml:space="preserve">55&lt;=</w:t>
      </w:r>
    </w:p>
    <w:p>
      <w:pPr>
        <w:pStyle w:val="FirstParagraph"/>
      </w:pPr>
      <w:r>
        <w:t xml:space="preserve">The configuration</w:t>
      </w:r>
      <w:r>
        <w:t xml:space="preserve"> </w:t>
      </w:r>
      <w:r>
        <w:rPr>
          <w:rStyle w:val="VerbatimChar"/>
        </w:rPr>
        <w:t xml:space="preserve">handle_unknown='use_encoded_value'</w:t>
      </w:r>
      <w:r>
        <w:t xml:space="preserve"> </w:t>
      </w:r>
      <w:r>
        <w:t xml:space="preserve">with</w:t>
      </w:r>
      <w:r>
        <w:t xml:space="preserve"> </w:t>
      </w:r>
      <w:r>
        <w:rPr>
          <w:rStyle w:val="VerbatimChar"/>
        </w:rPr>
        <w:t xml:space="preserve">unknown_value=-1</w:t>
      </w:r>
      <w:r>
        <w:t xml:space="preserve"> </w:t>
      </w:r>
      <w:r>
        <w:t xml:space="preserve">ensures that any category appearing in the test set but absent from the training set is encoded as −1 rather than raising an exception. Tree-based models (Random Forest, XGBoost, LightGBM) tolerate this sentinel value without issue.</w:t>
      </w:r>
    </w:p>
    <w:bookmarkEnd w:id="12"/>
    <w:bookmarkStart w:id="13" w:name="onehotencoder-nominal-features"/>
    <w:p>
      <w:pPr>
        <w:pStyle w:val="Heading3"/>
      </w:pPr>
      <w:r>
        <w:t xml:space="preserve">3.2 OneHotEncoder (nominal features)</w:t>
      </w:r>
    </w:p>
    <w:p>
      <w:pPr>
        <w:pStyle w:val="FirstParagraph"/>
      </w:pPr>
      <w:r>
        <w:t xml:space="preserve">Nominal variables (</w:t>
      </w:r>
      <w:r>
        <w:rPr>
          <w:rStyle w:val="VerbatimChar"/>
        </w:rPr>
        <w:t xml:space="preserve">region</w:t>
      </w:r>
      <w:r>
        <w:t xml:space="preserve">,</w:t>
      </w:r>
      <w:r>
        <w:t xml:space="preserve"> </w:t>
      </w:r>
      <w:r>
        <w:rPr>
          <w:rStyle w:val="VerbatimChar"/>
        </w:rPr>
        <w:t xml:space="preserve">code_module</w:t>
      </w:r>
      <w:r>
        <w:t xml:space="preserve">,</w:t>
      </w:r>
      <w:r>
        <w:t xml:space="preserve"> </w:t>
      </w:r>
      <w:r>
        <w:rPr>
          <w:rStyle w:val="VerbatimChar"/>
        </w:rPr>
        <w:t xml:space="preserve">code_presentation</w:t>
      </w:r>
      <w:r>
        <w:t xml:space="preserve">) carry no inherent order. Assigning integer codes would imply a false ranking — for example, suggesting one region is</w:t>
      </w:r>
      <w:r>
        <w:t xml:space="preserve"> </w:t>
      </w:r>
      <w:r>
        <w:t xml:space="preserve">“greater than”</w:t>
      </w:r>
      <w:r>
        <w:t xml:space="preserve"> </w:t>
      </w:r>
      <w:r>
        <w:t xml:space="preserve">another.</w:t>
      </w:r>
      <w:r>
        <w:t xml:space="preserve"> </w:t>
      </w:r>
      <w:r>
        <w:rPr>
          <w:rStyle w:val="VerbatimChar"/>
        </w:rPr>
        <w:t xml:space="preserve">OneHotEncoder</w:t>
      </w:r>
      <w:r>
        <w:t xml:space="preserve"> </w:t>
      </w:r>
      <w:r>
        <w:t xml:space="preserve">creates one binary column per category value, making the encoding permutation-invariant.</w:t>
      </w:r>
    </w:p>
    <w:p>
      <w:pPr>
        <w:pStyle w:val="BodyText"/>
      </w:pPr>
      <w:r>
        <w:t xml:space="preserve">Configuration:</w:t>
      </w:r>
      <w:r>
        <w:t xml:space="preserve"> </w:t>
      </w:r>
      <w:r>
        <w:rPr>
          <w:rStyle w:val="VerbatimChar"/>
        </w:rPr>
        <w:t xml:space="preserve">handle_unknown='ignore'</w:t>
      </w:r>
      <w:r>
        <w:t xml:space="preserve"> </w:t>
      </w:r>
      <w:r>
        <w:t xml:space="preserve">(unseen test categories produce an all-zero row, preventing runtime errors);</w:t>
      </w:r>
      <w:r>
        <w:t xml:space="preserve"> </w:t>
      </w:r>
      <w:r>
        <w:rPr>
          <w:rStyle w:val="VerbatimChar"/>
        </w:rPr>
        <w:t xml:space="preserve">sparse_output=False</w:t>
      </w:r>
      <w:r>
        <w:t xml:space="preserve"> </w:t>
      </w:r>
      <w:r>
        <w:t xml:space="preserve">(dense array for pipeline compatibility);</w:t>
      </w:r>
      <w:r>
        <w:t xml:space="preserve"> </w:t>
      </w:r>
      <w:r>
        <w:rPr>
          <w:rStyle w:val="VerbatimChar"/>
        </w:rPr>
        <w:t xml:space="preserve">drop=None</w:t>
      </w:r>
      <w:r>
        <w:t xml:space="preserve"> </w:t>
      </w:r>
      <w:r>
        <w:t xml:space="preserve">(all columns retained). The</w:t>
      </w:r>
      <w:r>
        <w:t xml:space="preserve"> </w:t>
      </w:r>
      <w:r>
        <w:rPr>
          <w:rStyle w:val="VerbatimChar"/>
        </w:rPr>
        <w:t xml:space="preserve">drop=None</w:t>
      </w:r>
      <w:r>
        <w:t xml:space="preserve"> </w:t>
      </w:r>
      <w:r>
        <w:t xml:space="preserve">choice is intentional: dropping a reference column would prevent SHAP waterfall plots and LIME explanations from attributing importance to the dropped category, reducing post-hoc interpretability.</w:t>
      </w:r>
    </w:p>
    <w:bookmarkEnd w:id="13"/>
    <w:bookmarkStart w:id="14" w:name="binaryencoder-binary-features"/>
    <w:p>
      <w:pPr>
        <w:pStyle w:val="Heading3"/>
      </w:pPr>
      <w:r>
        <w:t xml:space="preserve">3.3 BinaryEncoder (binary features)</w:t>
      </w:r>
    </w:p>
    <w:p>
      <w:pPr>
        <w:pStyle w:val="FirstParagraph"/>
      </w:pPr>
      <w:r>
        <w:t xml:space="preserve">Two features take exactly two values:</w:t>
      </w:r>
    </w:p>
    <w:p>
      <w:pPr>
        <w:pStyle w:val="Compact"/>
        <w:numPr>
          <w:ilvl w:val="0"/>
          <w:numId w:val="1002"/>
        </w:numPr>
      </w:pPr>
      <w:r>
        <w:rPr>
          <w:rStyle w:val="VerbatimChar"/>
        </w:rPr>
        <w:t xml:space="preserve">gender</w:t>
      </w:r>
      <w:r>
        <w:t xml:space="preserve">: M → 1, F → 0</w:t>
      </w:r>
    </w:p>
    <w:p>
      <w:pPr>
        <w:pStyle w:val="Compact"/>
        <w:numPr>
          <w:ilvl w:val="0"/>
          <w:numId w:val="1002"/>
        </w:numPr>
      </w:pPr>
      <w:r>
        <w:rPr>
          <w:rStyle w:val="VerbatimChar"/>
        </w:rPr>
        <w:t xml:space="preserve">disability</w:t>
      </w:r>
      <w:r>
        <w:t xml:space="preserve">: Y → 1, N → 0</w:t>
      </w:r>
    </w:p>
    <w:p>
      <w:pPr>
        <w:pStyle w:val="FirstParagraph"/>
      </w:pPr>
      <w:r>
        <w:t xml:space="preserve">A custom</w:t>
      </w:r>
      <w:r>
        <w:t xml:space="preserve"> </w:t>
      </w:r>
      <w:r>
        <w:rPr>
          <w:rStyle w:val="VerbatimChar"/>
        </w:rPr>
        <w:t xml:space="preserve">BinaryEncoder</w:t>
      </w:r>
      <w:r>
        <w:t xml:space="preserve"> </w:t>
      </w:r>
      <w:r>
        <w:t xml:space="preserve">class (sklearn-compatible</w:t>
      </w:r>
      <w:r>
        <w:t xml:space="preserve"> </w:t>
      </w:r>
      <w:r>
        <w:rPr>
          <w:rStyle w:val="VerbatimChar"/>
        </w:rPr>
        <w:t xml:space="preserve">BaseEstimator</w:t>
      </w:r>
      <w:r>
        <w:t xml:space="preserve"> </w:t>
      </w:r>
      <w:r>
        <w:t xml:space="preserve">/</w:t>
      </w:r>
      <w:r>
        <w:t xml:space="preserve"> </w:t>
      </w:r>
      <w:r>
        <w:rPr>
          <w:rStyle w:val="VerbatimChar"/>
        </w:rPr>
        <w:t xml:space="preserve">TransformerMixin</w:t>
      </w:r>
      <w:r>
        <w:t xml:space="preserve">) implements this fixed lookup table. No fitting is required since the mapping is a project-defined constant; the</w:t>
      </w:r>
      <w:r>
        <w:t xml:space="preserve"> </w:t>
      </w:r>
      <w:r>
        <w:rPr>
          <w:rStyle w:val="VerbatimChar"/>
        </w:rPr>
        <w:t xml:space="preserve">fit</w:t>
      </w:r>
      <w:r>
        <w:t xml:space="preserve"> </w:t>
      </w:r>
      <w:r>
        <w:t xml:space="preserve">method is a no-op retained for</w:t>
      </w:r>
      <w:r>
        <w:t xml:space="preserve"> </w:t>
      </w:r>
      <w:r>
        <w:rPr>
          <w:rStyle w:val="VerbatimChar"/>
        </w:rPr>
        <w:t xml:space="preserve">ColumnTransformer</w:t>
      </w:r>
      <w:r>
        <w:t xml:space="preserve"> </w:t>
      </w:r>
      <w:r>
        <w:t xml:space="preserve">compatibility.</w:t>
      </w:r>
    </w:p>
    <w:bookmarkEnd w:id="14"/>
    <w:bookmarkStart w:id="15" w:name="passthrough-indicator-feature"/>
    <w:p>
      <w:pPr>
        <w:pStyle w:val="Heading3"/>
      </w:pPr>
      <w:r>
        <w:t xml:space="preserve">3.4 Passthrough (indicator feature)</w:t>
      </w:r>
    </w:p>
    <w:p>
      <w:pPr>
        <w:pStyle w:val="FirstParagraph"/>
      </w:pPr>
      <w:r>
        <w:t xml:space="preserve">The</w:t>
      </w:r>
      <w:r>
        <w:t xml:space="preserve"> </w:t>
      </w:r>
      <w:r>
        <w:rPr>
          <w:rStyle w:val="VerbatimChar"/>
        </w:rPr>
        <w:t xml:space="preserve">not_submitted</w:t>
      </w:r>
      <w:r>
        <w:t xml:space="preserve"> </w:t>
      </w:r>
      <w:r>
        <w:t xml:space="preserve">flag is produced by feature engineering as a 0/1 integer and requires no further transformation. It is passed through the</w:t>
      </w:r>
      <w:r>
        <w:t xml:space="preserve"> </w:t>
      </w:r>
      <w:r>
        <w:rPr>
          <w:rStyle w:val="VerbatimChar"/>
        </w:rPr>
        <w:t xml:space="preserve">ColumnTransformer</w:t>
      </w:r>
      <w:r>
        <w:t xml:space="preserve"> </w:t>
      </w:r>
      <w:r>
        <w:t xml:space="preserve">via the</w:t>
      </w:r>
      <w:r>
        <w:t xml:space="preserve"> </w:t>
      </w:r>
      <w:r>
        <w:rPr>
          <w:rStyle w:val="VerbatimChar"/>
        </w:rPr>
        <w:t xml:space="preserve">'passthrough'</w:t>
      </w:r>
      <w:r>
        <w:t xml:space="preserve"> </w:t>
      </w:r>
      <w:r>
        <w:t xml:space="preserve">transformer to preserve its presence in the output feature matrix.</w:t>
      </w:r>
    </w:p>
    <w:p>
      <w:r>
        <w:pict>
          <v:rect style="width:0;height:1.5pt" o:hralign="center" o:hrstd="t" o:hr="t"/>
        </w:pict>
      </w:r>
    </w:p>
    <w:bookmarkEnd w:id="15"/>
    <w:bookmarkEnd w:id="16"/>
    <w:bookmarkStart w:id="20" w:name="standardisation-scaling"/>
    <w:p>
      <w:pPr>
        <w:pStyle w:val="Heading2"/>
      </w:pPr>
      <w:r>
        <w:t xml:space="preserve">4. Standardisation (Scaling)</w:t>
      </w:r>
    </w:p>
    <w:bookmarkStart w:id="17" w:name="standardscaler"/>
    <w:p>
      <w:pPr>
        <w:pStyle w:val="Heading3"/>
      </w:pPr>
      <w:r>
        <w:t xml:space="preserve">4.1 StandardScaler</w:t>
      </w:r>
    </w:p>
    <w:p>
      <w:pPr>
        <w:pStyle w:val="FirstParagraph"/>
      </w:pPr>
      <w:r>
        <w:t xml:space="preserve">All 19 numeric features are standardised to zero mean and unit variance using sklearn’s</w:t>
      </w:r>
      <w:r>
        <w:t xml:space="preserve"> </w:t>
      </w:r>
      <w:r>
        <w:rPr>
          <w:rStyle w:val="VerbatimChar"/>
        </w:rPr>
        <w:t xml:space="preserve">StandardScaler</w:t>
      </w:r>
      <w:r>
        <w:t xml:space="preserve"> </w:t>
      </w:r>
      <w:r>
        <w:t xml:space="preserve">(z-score normalisation: x′ = (x − μ) / σ). After the log1p or winsorise transformations applied in the outlier-handling stage, each numeric column is independently shifted and scaled so that its training-set distribution has mean 0 and standard deviation 1.</w:t>
      </w:r>
    </w:p>
    <w:bookmarkEnd w:id="17"/>
    <w:bookmarkStart w:id="18" w:name="rationale"/>
    <w:p>
      <w:pPr>
        <w:pStyle w:val="Heading3"/>
      </w:pPr>
      <w:r>
        <w:t xml:space="preserve">4.2 Rationale</w:t>
      </w:r>
    </w:p>
    <w:p>
      <w:pPr>
        <w:pStyle w:val="FirstParagraph"/>
      </w:pPr>
      <w:r>
        <w:t xml:space="preserve">VLE click counts range from zero to several thousand; score variables span 0 to 100. Without standardisation, models that compute distances or gradient magnitudes (Logistic Regression, Artificial Neural Networks) are dominated by the high-magnitude clickstream variables. Although tree-based models (Random Forest, XGBoost, LightGBM) split on feature thresholds and are theoretically scale-invariant,</w:t>
      </w:r>
      <w:r>
        <w:t xml:space="preserve"> </w:t>
      </w:r>
      <w:r>
        <w:rPr>
          <w:rStyle w:val="VerbatimChar"/>
        </w:rPr>
        <w:t xml:space="preserve">StandardScaler</w:t>
      </w:r>
      <w:r>
        <w:t xml:space="preserve"> </w:t>
      </w:r>
      <w:r>
        <w:t xml:space="preserve">is applied uniformly across all numeric features to ensure pipeline consistency: a single</w:t>
      </w:r>
      <w:r>
        <w:t xml:space="preserve"> </w:t>
      </w:r>
      <w:r>
        <w:rPr>
          <w:rStyle w:val="VerbatimChar"/>
        </w:rPr>
        <w:t xml:space="preserve">preprocess()</w:t>
      </w:r>
      <w:r>
        <w:t xml:space="preserve"> </w:t>
      </w:r>
      <w:r>
        <w:t xml:space="preserve">call produces a feature matrix valid for any model class without further intervention.</w:t>
      </w:r>
    </w:p>
    <w:bookmarkEnd w:id="18"/>
    <w:bookmarkStart w:id="19" w:name="anti-leakage-implementation"/>
    <w:p>
      <w:pPr>
        <w:pStyle w:val="Heading3"/>
      </w:pPr>
      <w:r>
        <w:t xml:space="preserve">4.3 Anti-Leakage Implementation</w:t>
      </w:r>
    </w:p>
    <w:p>
      <w:pPr>
        <w:pStyle w:val="FirstParagraph"/>
      </w:pPr>
      <w:r>
        <w:t xml:space="preserve">The scaler is fitted exclusively on the training fold. The fitted parameters (</w:t>
      </w:r>
      <w:r>
        <w:rPr>
          <w:rStyle w:val="VerbatimChar"/>
        </w:rPr>
        <w:t xml:space="preserve">scaler.mean_</w:t>
      </w:r>
      <w:r>
        <w:t xml:space="preserve"> </w:t>
      </w:r>
      <w:r>
        <w:t xml:space="preserve">and</w:t>
      </w:r>
      <w:r>
        <w:t xml:space="preserve"> </w:t>
      </w:r>
      <w:r>
        <w:rPr>
          <w:rStyle w:val="VerbatimChar"/>
        </w:rPr>
        <w:t xml:space="preserve">scaler.var_</w:t>
      </w:r>
      <w:r>
        <w:t xml:space="preserve">) are computed solely from training observations. The</w:t>
      </w:r>
      <w:r>
        <w:t xml:space="preserve"> </w:t>
      </w:r>
      <w:r>
        <w:rPr>
          <w:rStyle w:val="VerbatimChar"/>
        </w:rPr>
        <w:t xml:space="preserve">.transform()</w:t>
      </w:r>
      <w:r>
        <w:t xml:space="preserve"> </w:t>
      </w:r>
      <w:r>
        <w:t xml:space="preserve">method — which applies the stored mean and variance — is then called on both the training and test arrays. The</w:t>
      </w:r>
      <w:r>
        <w:t xml:space="preserve"> </w:t>
      </w:r>
      <w:r>
        <w:rPr>
          <w:rStyle w:val="VerbatimChar"/>
        </w:rPr>
        <w:t xml:space="preserve">.fit_transform()</w:t>
      </w:r>
      <w:r>
        <w:t xml:space="preserve"> </w:t>
      </w:r>
      <w:r>
        <w:t xml:space="preserve">shorthand is never called on the full dataset. This prevents any statistical information from the test set from influencing the transformation applied to training data, which would constitute data leakage and produce over-optimistic generalisation estimates.</w:t>
      </w:r>
    </w:p>
    <w:p>
      <w:pPr>
        <w:pStyle w:val="BodyText"/>
      </w:pPr>
      <w:r>
        <w:rPr>
          <w:b/>
          <w:bCs/>
        </w:rPr>
        <w:t xml:space="preserve">Table 2. Encoding and Scaling Summary</w:t>
      </w:r>
    </w:p>
    <w:tbl>
      <w:tblPr>
        <w:tblStyle w:val="Table"/>
        <w:tblW w:type="pct" w:w="5000"/>
        <w:tblLayout w:type="fixed"/>
        <w:tblLook w:firstRow="1" w:lastRow="0" w:firstColumn="0" w:lastColumn="0" w:noHBand="0" w:noVBand="0" w:val="0020"/>
      </w:tblPr>
      <w:tblGrid>
        <w:gridCol w:w="2511"/>
        <w:gridCol w:w="1931"/>
        <w:gridCol w:w="3477"/>
      </w:tblGrid>
      <w:tr>
        <w:trPr>
          <w:tblHeader w:val="on"/>
        </w:trPr>
        <w:tc>
          <w:tcPr/>
          <w:p>
            <w:pPr>
              <w:pStyle w:val="Compact"/>
            </w:pPr>
            <w:r>
              <w:t xml:space="preserve">Transformer</w:t>
            </w:r>
          </w:p>
        </w:tc>
        <w:tc>
          <w:tcPr/>
          <w:p>
            <w:pPr>
              <w:pStyle w:val="Compact"/>
            </w:pPr>
            <w:r>
              <w:t xml:space="preserve">Features</w:t>
            </w:r>
          </w:p>
        </w:tc>
        <w:tc>
          <w:tcPr/>
          <w:p>
            <w:pPr>
              <w:pStyle w:val="Compact"/>
            </w:pPr>
            <w:r>
              <w:t xml:space="preserve">Key Configuration</w:t>
            </w:r>
          </w:p>
        </w:tc>
      </w:tr>
      <w:tr>
        <w:tc>
          <w:tcPr/>
          <w:p>
            <w:pPr>
              <w:pStyle w:val="Compact"/>
            </w:pPr>
            <w:r>
              <w:rPr>
                <w:rStyle w:val="VerbatimChar"/>
              </w:rPr>
              <w:t xml:space="preserve">StandardScaler</w:t>
            </w:r>
          </w:p>
        </w:tc>
        <w:tc>
          <w:tcPr/>
          <w:p>
            <w:pPr>
              <w:pStyle w:val="Compact"/>
            </w:pPr>
            <w:r>
              <w:t xml:space="preserve">19 numeric</w:t>
            </w:r>
          </w:p>
        </w:tc>
        <w:tc>
          <w:tcPr/>
          <w:p>
            <w:pPr>
              <w:pStyle w:val="Compact"/>
            </w:pPr>
            <w:r>
              <w:t xml:space="preserve">Fit on train only;</w:t>
            </w:r>
            <w:r>
              <w:t xml:space="preserve"> </w:t>
            </w:r>
            <w:r>
              <w:rPr>
                <w:rStyle w:val="VerbatimChar"/>
              </w:rPr>
              <w:t xml:space="preserve">scaler.mean_</w:t>
            </w:r>
            <w:r>
              <w:t xml:space="preserve"> </w:t>
            </w:r>
            <w:r>
              <w:t xml:space="preserve">from train</w:t>
            </w:r>
          </w:p>
        </w:tc>
      </w:tr>
      <w:tr>
        <w:tc>
          <w:tcPr/>
          <w:p>
            <w:pPr>
              <w:pStyle w:val="Compact"/>
            </w:pPr>
            <w:r>
              <w:rPr>
                <w:rStyle w:val="VerbatimChar"/>
              </w:rPr>
              <w:t xml:space="preserve">OrdinalEncoder</w:t>
            </w:r>
          </w:p>
        </w:tc>
        <w:tc>
          <w:tcPr/>
          <w:p>
            <w:pPr>
              <w:pStyle w:val="Compact"/>
            </w:pPr>
            <w:r>
              <w:t xml:space="preserve">3 ordinal</w:t>
            </w:r>
          </w:p>
        </w:tc>
        <w:tc>
          <w:tcPr/>
          <w:p>
            <w:pPr>
              <w:pStyle w:val="Compact"/>
            </w:pPr>
            <w:r>
              <w:t xml:space="preserve">Explicit category lists;</w:t>
            </w:r>
            <w:r>
              <w:t xml:space="preserve"> </w:t>
            </w:r>
            <w:r>
              <w:rPr>
                <w:rStyle w:val="VerbatimChar"/>
              </w:rPr>
              <w:t xml:space="preserve">handle_unknown='use_encoded_value'</w:t>
            </w:r>
            <w:r>
              <w:t xml:space="preserve">,</w:t>
            </w:r>
            <w:r>
              <w:t xml:space="preserve"> </w:t>
            </w:r>
            <w:r>
              <w:rPr>
                <w:rStyle w:val="VerbatimChar"/>
              </w:rPr>
              <w:t xml:space="preserve">unknown_value=-1</w:t>
            </w:r>
          </w:p>
        </w:tc>
      </w:tr>
      <w:tr>
        <w:tc>
          <w:tcPr/>
          <w:p>
            <w:pPr>
              <w:pStyle w:val="Compact"/>
            </w:pPr>
            <w:r>
              <w:rPr>
                <w:rStyle w:val="VerbatimChar"/>
              </w:rPr>
              <w:t xml:space="preserve">OneHotEncoder</w:t>
            </w:r>
          </w:p>
        </w:tc>
        <w:tc>
          <w:tcPr/>
          <w:p>
            <w:pPr>
              <w:pStyle w:val="Compact"/>
            </w:pPr>
            <w:r>
              <w:t xml:space="preserve">3 nominal</w:t>
            </w:r>
          </w:p>
        </w:tc>
        <w:tc>
          <w:tcPr/>
          <w:p>
            <w:pPr>
              <w:pStyle w:val="Compact"/>
            </w:pPr>
            <w:r>
              <w:rPr>
                <w:rStyle w:val="VerbatimChar"/>
              </w:rPr>
              <w:t xml:space="preserve">handle_unknown='ignore'</w:t>
            </w:r>
            <w:r>
              <w:t xml:space="preserve">,</w:t>
            </w:r>
            <w:r>
              <w:t xml:space="preserve"> </w:t>
            </w:r>
            <w:r>
              <w:rPr>
                <w:rStyle w:val="VerbatimChar"/>
              </w:rPr>
              <w:t xml:space="preserve">sparse_output=False</w:t>
            </w:r>
            <w:r>
              <w:t xml:space="preserve">,</w:t>
            </w:r>
            <w:r>
              <w:t xml:space="preserve"> </w:t>
            </w:r>
            <w:r>
              <w:rPr>
                <w:rStyle w:val="VerbatimChar"/>
              </w:rPr>
              <w:t xml:space="preserve">drop=None</w:t>
            </w:r>
          </w:p>
        </w:tc>
      </w:tr>
      <w:tr>
        <w:tc>
          <w:tcPr/>
          <w:p>
            <w:pPr>
              <w:pStyle w:val="Compact"/>
            </w:pPr>
            <w:r>
              <w:rPr>
                <w:rStyle w:val="VerbatimChar"/>
              </w:rPr>
              <w:t xml:space="preserve">BinaryEncoder</w:t>
            </w:r>
            <w:r>
              <w:t xml:space="preserve"> </w:t>
            </w:r>
            <w:r>
              <w:t xml:space="preserve">(custom)</w:t>
            </w:r>
          </w:p>
        </w:tc>
        <w:tc>
          <w:tcPr/>
          <w:p>
            <w:pPr>
              <w:pStyle w:val="Compact"/>
            </w:pPr>
            <w:r>
              <w:t xml:space="preserve">2 binary</w:t>
            </w:r>
          </w:p>
        </w:tc>
        <w:tc>
          <w:tcPr/>
          <w:p>
            <w:pPr>
              <w:pStyle w:val="Compact"/>
            </w:pPr>
            <w:r>
              <w:t xml:space="preserve">Fixed lookup: M/Y→1, F/N→0</w:t>
            </w:r>
          </w:p>
        </w:tc>
      </w:tr>
      <w:tr>
        <w:tc>
          <w:tcPr/>
          <w:p>
            <w:pPr>
              <w:pStyle w:val="Compact"/>
            </w:pPr>
            <w:r>
              <w:rPr>
                <w:rStyle w:val="VerbatimChar"/>
              </w:rPr>
              <w:t xml:space="preserve">passthrough</w:t>
            </w:r>
          </w:p>
        </w:tc>
        <w:tc>
          <w:tcPr/>
          <w:p>
            <w:pPr>
              <w:pStyle w:val="Compact"/>
            </w:pPr>
            <w:r>
              <w:t xml:space="preserve">1 indicator</w:t>
            </w:r>
          </w:p>
        </w:tc>
        <w:tc>
          <w:tcPr/>
          <w:p>
            <w:pPr>
              <w:pStyle w:val="Compact"/>
            </w:pPr>
            <w:r>
              <w:t xml:space="preserve">No transformation</w:t>
            </w:r>
          </w:p>
        </w:tc>
      </w:tr>
    </w:tbl>
    <w:p>
      <w:r>
        <w:pict>
          <v:rect style="width:0;height:1.5pt" o:hralign="center" o:hrstd="t" o:hr="t"/>
        </w:pict>
      </w:r>
    </w:p>
    <w:bookmarkEnd w:id="19"/>
    <w:bookmarkEnd w:id="20"/>
    <w:bookmarkStart w:id="21" w:name="transformation-pipeline-order"/>
    <w:p>
      <w:pPr>
        <w:pStyle w:val="Heading2"/>
      </w:pPr>
      <w:r>
        <w:t xml:space="preserve">5. Transformation Pipeline Order</w:t>
      </w:r>
    </w:p>
    <w:p>
      <w:pPr>
        <w:pStyle w:val="FirstParagraph"/>
      </w:pPr>
      <w:r>
        <w:t xml:space="preserve">The full anti-leakage pipeline order, as implemented in</w:t>
      </w:r>
      <w:r>
        <w:t xml:space="preserve"> </w:t>
      </w:r>
      <w:r>
        <w:rPr>
          <w:rStyle w:val="VerbatimChar"/>
        </w:rPr>
        <w:t xml:space="preserve">preprocess()</w:t>
      </w:r>
      <w:r>
        <w:t xml:space="preserve">, is:</w:t>
      </w:r>
    </w:p>
    <w:p>
      <w:pPr>
        <w:pStyle w:val="Compact"/>
        <w:numPr>
          <w:ilvl w:val="0"/>
          <w:numId w:val="1003"/>
        </w:numPr>
      </w:pPr>
      <w:r>
        <w:rPr>
          <w:b/>
          <w:bCs/>
        </w:rPr>
        <w:t xml:space="preserve">Train/test split</w:t>
      </w:r>
      <w:r>
        <w:t xml:space="preserve"> </w:t>
      </w:r>
      <w:r>
        <w:t xml:space="preserve">— performed outside this module, prior to any fitting.</w:t>
      </w:r>
    </w:p>
    <w:p>
      <w:pPr>
        <w:pStyle w:val="Compact"/>
        <w:numPr>
          <w:ilvl w:val="0"/>
          <w:numId w:val="1003"/>
        </w:numPr>
      </w:pPr>
      <w:r>
        <w:rPr>
          <w:rStyle w:val="VerbatimChar"/>
          <w:b/>
          <w:bCs/>
        </w:rPr>
        <w:t xml:space="preserve">handle_missing(X_train)</w:t>
      </w:r>
      <w:r>
        <w:t xml:space="preserve"> </w:t>
      </w:r>
      <w:r>
        <w:t xml:space="preserve">— imputation logic derived from training data; the same rules are applied to the test set without re-fitting.</w:t>
      </w:r>
    </w:p>
    <w:p>
      <w:pPr>
        <w:pStyle w:val="Compact"/>
        <w:numPr>
          <w:ilvl w:val="0"/>
          <w:numId w:val="1003"/>
        </w:numPr>
      </w:pPr>
      <w:r>
        <w:rPr>
          <w:rStyle w:val="VerbatimChar"/>
          <w:b/>
          <w:bCs/>
        </w:rPr>
        <w:t xml:space="preserve">handle_outliers(X_train)</w:t>
      </w:r>
      <w:r>
        <w:t xml:space="preserve"> </w:t>
      </w:r>
      <w:r>
        <w:t xml:space="preserve">— log1p and winsorise transformations applied; test set is transformed with the same deterministic rules.</w:t>
      </w:r>
    </w:p>
    <w:p>
      <w:pPr>
        <w:pStyle w:val="Compact"/>
        <w:numPr>
          <w:ilvl w:val="0"/>
          <w:numId w:val="1003"/>
        </w:numPr>
      </w:pPr>
      <w:r>
        <w:rPr>
          <w:rStyle w:val="VerbatimChar"/>
          <w:b/>
          <w:bCs/>
        </w:rPr>
        <w:t xml:space="preserve">ColumnTransformer.fit(X_train)</w:t>
      </w:r>
      <w:r>
        <w:t xml:space="preserve"> </w:t>
      </w:r>
      <w:r>
        <w:t xml:space="preserve">— all transformers (StandardScaler, OrdinalEncoder, OneHotEncoder, BinaryEncoder) are fitted on the training fold only.</w:t>
      </w:r>
    </w:p>
    <w:p>
      <w:pPr>
        <w:pStyle w:val="Compact"/>
        <w:numPr>
          <w:ilvl w:val="0"/>
          <w:numId w:val="1003"/>
        </w:numPr>
      </w:pPr>
      <w:r>
        <w:rPr>
          <w:rStyle w:val="VerbatimChar"/>
          <w:b/>
          <w:bCs/>
        </w:rPr>
        <w:t xml:space="preserve">ColumnTransformer.transform(X_train)</w:t>
      </w:r>
      <w:r>
        <w:rPr>
          <w:b/>
          <w:bCs/>
        </w:rPr>
        <w:t xml:space="preserve"> </w:t>
      </w:r>
      <w:r>
        <w:rPr>
          <w:b/>
          <w:bCs/>
        </w:rPr>
        <w:t xml:space="preserve">and</w:t>
      </w:r>
      <w:r>
        <w:rPr>
          <w:b/>
          <w:bCs/>
        </w:rPr>
        <w:t xml:space="preserve"> </w:t>
      </w:r>
      <w:r>
        <w:rPr>
          <w:rStyle w:val="VerbatimChar"/>
          <w:b/>
          <w:bCs/>
        </w:rPr>
        <w:t xml:space="preserve">.transform(X_test)</w:t>
      </w:r>
      <w:r>
        <w:t xml:space="preserve"> </w:t>
      </w:r>
      <w:r>
        <w:t xml:space="preserve">— the fitted transformer is applied to both sets.</w:t>
      </w:r>
    </w:p>
    <w:p>
      <w:pPr>
        <w:pStyle w:val="Compact"/>
        <w:numPr>
          <w:ilvl w:val="0"/>
          <w:numId w:val="1003"/>
        </w:numPr>
      </w:pPr>
      <w:r>
        <w:rPr>
          <w:b/>
          <w:bCs/>
        </w:rPr>
        <w:t xml:space="preserve">Resampling (SMOTE/ADASYN)</w:t>
      </w:r>
      <w:r>
        <w:t xml:space="preserve"> </w:t>
      </w:r>
      <w:r>
        <w:t xml:space="preserve">— applied exclusively to the transformed training array; the test array is never resampled.</w:t>
      </w:r>
    </w:p>
    <w:p>
      <w:pPr>
        <w:pStyle w:val="FirstParagraph"/>
      </w:pPr>
      <w:r>
        <w:t xml:space="preserve">This sequence is cross-referenced in the Preprocessing Sequence document (Document 07).</w:t>
      </w:r>
    </w:p>
    <w:p>
      <w:r>
        <w:pict>
          <v:rect style="width:0;height:1.5pt" o:hralign="center" o:hrstd="t" o:hr="t"/>
        </w:pict>
      </w:r>
    </w:p>
    <w:bookmarkEnd w:id="21"/>
    <w:bookmarkStart w:id="22" w:name="output-properties"/>
    <w:p>
      <w:pPr>
        <w:pStyle w:val="Heading2"/>
      </w:pPr>
      <w:r>
        <w:t xml:space="preserve">6. Output Properties</w:t>
      </w:r>
    </w:p>
    <w:p>
      <w:pPr>
        <w:pStyle w:val="FirstParagraph"/>
      </w:pPr>
      <w:r>
        <w:t xml:space="preserve">The fitted</w:t>
      </w:r>
      <w:r>
        <w:t xml:space="preserve"> </w:t>
      </w:r>
      <w:r>
        <w:rPr>
          <w:rStyle w:val="VerbatimChar"/>
        </w:rPr>
        <w:t xml:space="preserve">ColumnTransformer</w:t>
      </w:r>
      <w:r>
        <w:t xml:space="preserve"> </w:t>
      </w:r>
      <w:r>
        <w:t xml:space="preserve">is serialised to</w:t>
      </w:r>
      <w:r>
        <w:t xml:space="preserve"> </w:t>
      </w:r>
      <w:r>
        <w:rPr>
          <w:rStyle w:val="VerbatimChar"/>
        </w:rPr>
        <w:t xml:space="preserve">scaler.pkl</w:t>
      </w:r>
      <w:r>
        <w:t xml:space="preserve"> </w:t>
      </w:r>
      <w:r>
        <w:t xml:space="preserve">via</w:t>
      </w:r>
      <w:r>
        <w:t xml:space="preserve"> </w:t>
      </w:r>
      <w:r>
        <w:rPr>
          <w:rStyle w:val="VerbatimChar"/>
        </w:rPr>
        <w:t xml:space="preserve">joblib.dump()</w:t>
      </w:r>
      <w:r>
        <w:t xml:space="preserve"> </w:t>
      </w:r>
      <w:r>
        <w:t xml:space="preserve">for reproducibility and deployment. The</w:t>
      </w:r>
      <w:r>
        <w:t xml:space="preserve"> </w:t>
      </w:r>
      <w:r>
        <w:rPr>
          <w:rStyle w:val="VerbatimChar"/>
        </w:rPr>
        <w:t xml:space="preserve">preprocess()</w:t>
      </w:r>
      <w:r>
        <w:t xml:space="preserve"> </w:t>
      </w:r>
      <w:r>
        <w:t xml:space="preserve">function returns four objects: the transformed training array, the transformed test array, the fitted transformer, and a list of feature names obtained from</w:t>
      </w:r>
      <w:r>
        <w:t xml:space="preserve"> </w:t>
      </w:r>
      <w:r>
        <w:rPr>
          <w:rStyle w:val="VerbatimChar"/>
        </w:rPr>
        <w:t xml:space="preserve">ct.get_feature_names_out()</w:t>
      </w:r>
      <w:r>
        <w:t xml:space="preserve">.</w:t>
      </w:r>
    </w:p>
    <w:p>
      <w:pPr>
        <w:pStyle w:val="BodyText"/>
      </w:pPr>
      <w:r>
        <w:t xml:space="preserve">Verified output properties:</w:t>
      </w:r>
    </w:p>
    <w:p>
      <w:pPr>
        <w:pStyle w:val="Compact"/>
        <w:numPr>
          <w:ilvl w:val="0"/>
          <w:numId w:val="1004"/>
        </w:numPr>
      </w:pPr>
      <w:r>
        <w:rPr>
          <w:b/>
          <w:bCs/>
        </w:rPr>
        <w:t xml:space="preserve">Column count</w:t>
      </w:r>
      <w:r>
        <w:t xml:space="preserve">: 49 columns after encoding (19 numeric + 3 ordinal + one-hot expansion of region/code_module/code_presentation + 2 binary + 1 indicator).</w:t>
      </w:r>
    </w:p>
    <w:p>
      <w:pPr>
        <w:pStyle w:val="Compact"/>
        <w:numPr>
          <w:ilvl w:val="0"/>
          <w:numId w:val="1004"/>
        </w:numPr>
      </w:pPr>
      <w:r>
        <w:rPr>
          <w:b/>
          <w:bCs/>
        </w:rPr>
        <w:t xml:space="preserve">Missing values</w:t>
      </w:r>
      <w:r>
        <w:t xml:space="preserve">: zero NaN values in either output array after transformation.</w:t>
      </w:r>
    </w:p>
    <w:p>
      <w:pPr>
        <w:pStyle w:val="Compact"/>
        <w:numPr>
          <w:ilvl w:val="0"/>
          <w:numId w:val="1004"/>
        </w:numPr>
      </w:pPr>
      <w:r>
        <w:rPr>
          <w:b/>
          <w:bCs/>
        </w:rPr>
        <w:t xml:space="preserve">Feature names</w:t>
      </w:r>
      <w:r>
        <w:t xml:space="preserve">: fully retained in</w:t>
      </w:r>
      <w:r>
        <w:t xml:space="preserve"> </w:t>
      </w:r>
      <w:r>
        <w:rPr>
          <w:rStyle w:val="VerbatimChar"/>
        </w:rPr>
        <w:t xml:space="preserve">snake_case</w:t>
      </w:r>
      <w:r>
        <w:t xml:space="preserve"> </w:t>
      </w:r>
      <w:r>
        <w:t xml:space="preserve">prefixed by transformer name (e.g.,</w:t>
      </w:r>
      <w:r>
        <w:t xml:space="preserve"> </w:t>
      </w:r>
      <w:r>
        <w:rPr>
          <w:rStyle w:val="VerbatimChar"/>
        </w:rPr>
        <w:t xml:space="preserve">num__total_clicks</w:t>
      </w:r>
      <w:r>
        <w:t xml:space="preserve">,</w:t>
      </w:r>
      <w:r>
        <w:t xml:space="preserve"> </w:t>
      </w:r>
      <w:r>
        <w:rPr>
          <w:rStyle w:val="VerbatimChar"/>
        </w:rPr>
        <w:t xml:space="preserve">nominal__region_East Anglian Region</w:t>
      </w:r>
      <w:r>
        <w:t xml:space="preserve">) for unambiguous attribution in SHAP waterfall plots and LIME feature importance displays.</w:t>
      </w:r>
    </w:p>
    <w:p>
      <w:r>
        <w:pict>
          <v:rect style="width:0;height:1.5pt" o:hralign="center" o:hrstd="t" o:hr="t"/>
        </w:pict>
      </w:r>
    </w:p>
    <w:bookmarkEnd w:id="22"/>
    <w:bookmarkStart w:id="23" w:name="X6efd9972fbc97fc8277eb8646fba9ffb3780856"/>
    <w:p>
      <w:pPr>
        <w:pStyle w:val="Heading2"/>
      </w:pPr>
      <w:r>
        <w:t xml:space="preserve">7. Feature Naming and Downstream Explainability</w:t>
      </w:r>
    </w:p>
    <w:p>
      <w:pPr>
        <w:pStyle w:val="FirstParagraph"/>
      </w:pPr>
      <w:r>
        <w:t xml:space="preserve">The consistent use of descriptive</w:t>
      </w:r>
      <w:r>
        <w:t xml:space="preserve"> </w:t>
      </w:r>
      <w:r>
        <w:rPr>
          <w:rStyle w:val="VerbatimChar"/>
        </w:rPr>
        <w:t xml:space="preserve">snake_case</w:t>
      </w:r>
      <w:r>
        <w:t xml:space="preserve"> </w:t>
      </w:r>
      <w:r>
        <w:t xml:space="preserve">column names throughout</w:t>
      </w:r>
      <w:r>
        <w:t xml:space="preserve"> </w:t>
      </w:r>
      <w:r>
        <w:rPr>
          <w:rStyle w:val="VerbatimChar"/>
        </w:rPr>
        <w:t xml:space="preserve">preprocessing.py</w:t>
      </w:r>
      <w:r>
        <w:t xml:space="preserve"> </w:t>
      </w:r>
      <w:r>
        <w:t xml:space="preserve">(e.g.,</w:t>
      </w:r>
      <w:r>
        <w:t xml:space="preserve"> </w:t>
      </w:r>
      <w:r>
        <w:rPr>
          <w:rStyle w:val="VerbatimChar"/>
        </w:rPr>
        <w:t xml:space="preserve">mean_clicks_per_active_day</w:t>
      </w:r>
      <w:r>
        <w:t xml:space="preserve">,</w:t>
      </w:r>
      <w:r>
        <w:t xml:space="preserve"> </w:t>
      </w:r>
      <w:r>
        <w:rPr>
          <w:rStyle w:val="VerbatimChar"/>
        </w:rPr>
        <w:t xml:space="preserve">weighted_score_to_date</w:t>
      </w:r>
      <w:r>
        <w:t xml:space="preserve">,</w:t>
      </w:r>
      <w:r>
        <w:t xml:space="preserve"> </w:t>
      </w:r>
      <w:r>
        <w:rPr>
          <w:rStyle w:val="VerbatimChar"/>
        </w:rPr>
        <w:t xml:space="preserve">days_since_last_activity</w:t>
      </w:r>
      <w:r>
        <w:t xml:space="preserve">) ensures that SHAP and LIME outputs are self-documenting. When the</w:t>
      </w:r>
      <w:r>
        <w:t xml:space="preserve"> </w:t>
      </w:r>
      <w:r>
        <w:rPr>
          <w:rStyle w:val="VerbatimChar"/>
        </w:rPr>
        <w:t xml:space="preserve">ColumnTransformer</w:t>
      </w:r>
      <w:r>
        <w:t xml:space="preserve"> </w:t>
      </w:r>
      <w:r>
        <w:t xml:space="preserve">is configured with</w:t>
      </w:r>
      <w:r>
        <w:t xml:space="preserve"> </w:t>
      </w:r>
      <w:r>
        <w:rPr>
          <w:rStyle w:val="VerbatimChar"/>
        </w:rPr>
        <w:t xml:space="preserve">verbose_feature_names_out=True</w:t>
      </w:r>
      <w:r>
        <w:t xml:space="preserve">, each output column carries a transformer-prefix that identifies its origin, enabling analysts to trace any individual feature importance value back to its raw source variable without consulting a separate data dictionary. This design choice directly supports the interpretability requirements of the at-risk prediction use case, in which educators and advisors must understand which student behaviours or demographic attributes drive individual risk flags.</w:t>
      </w:r>
    </w:p>
    <w:p>
      <w:r>
        <w:pict>
          <v:rect style="width:0;height:1.5pt" o:hralign="center" o:hrstd="t" o:hr="t"/>
        </w:pict>
      </w:r>
    </w:p>
    <w:p>
      <w:pPr>
        <w:pStyle w:val="FirstParagraph"/>
      </w:pPr>
      <w:r>
        <w:rPr>
          <w:i/>
          <w:iCs/>
        </w:rPr>
        <w:t xml:space="preserve">Prepared by DSP391m Group 1. All transformation logic references</w:t>
      </w:r>
      <w:r>
        <w:rPr>
          <w:i/>
          <w:iCs/>
        </w:rPr>
        <w:t xml:space="preserve"> </w:t>
      </w:r>
      <w:r>
        <w:rPr>
          <w:rStyle w:val="VerbatimChar"/>
          <w:i/>
          <w:iCs/>
        </w:rPr>
        <w:t xml:space="preserve">src/features/preprocessing.py</w:t>
      </w:r>
      <w:r>
        <w:rPr>
          <w:i/>
          <w:iCs/>
        </w:rPr>
        <w:t xml:space="preserve">, committed to the project repository (branch: main).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2026-07-23T05:43:08Z</dcterms:created>
  <dcterms:modified xsi:type="dcterms:W3CDTF">2026-07-23T05:43:08Z</dcterms:modified>
</cp:coreProperties>
</file>

<file path=docProps/custom.xml><?xml version="1.0" encoding="utf-8"?>
<Properties xmlns="http://schemas.openxmlformats.org/officeDocument/2006/custom-properties" xmlns:vt="http://schemas.openxmlformats.org/officeDocument/2006/docPropsVTypes"/>
</file>