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the original papers: full text for [1], [2] and [4]; abstract plus independent citing studies for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master table; the reported experiments use a</w:t>
            </w:r>
            <w:r>
              <w:t xml:space="preserve"> </w:t>
            </w:r>
            <w:r>
              <w:rPr>
                <w:b/>
                <w:bCs/>
              </w:rPr>
              <w:t xml:space="preserve">DDD-module subset</w:t>
            </w:r>
            <w:r>
              <w:t xml:space="preserve"> </w:t>
            </w:r>
            <w:r>
              <w:t xml:space="preserve">(DDD_2013J + DDD_2014B) →</w:t>
            </w:r>
            <w:r>
              <w:t xml:space="preserve"> </w:t>
            </w:r>
            <w:r>
              <w:rPr>
                <w:b/>
                <w:bCs/>
              </w:rPr>
              <w:t xml:space="preserve">3,166 students</w:t>
            </w:r>
            <w:r>
              <w:t xml:space="preserve"> </w:t>
            </w:r>
            <w:r>
              <w:t xml:space="preserve">after excluding non-exam-takers [2]</w:t>
            </w:r>
          </w:p>
        </w:tc>
        <w:tc>
          <w:tcPr/>
          <w:p>
            <w:pPr>
              <w:pStyle w:val="Compact"/>
            </w:pPr>
            <w:r>
              <w:rPr>
                <w:b/>
                <w:bCs/>
              </w:rPr>
              <w:t xml:space="preserve">Rows with any missing value dropped</w:t>
            </w:r>
            <w:r>
              <w:t xml:space="preserve"> </w:t>
            </w:r>
            <w:r>
              <w:t xml:space="preserve">(a NaN = a non-attempted intermediary/final assessment); features</w:t>
            </w:r>
            <w:r>
              <w:t xml:space="preserve"> </w:t>
            </w:r>
            <w:r>
              <w:rPr>
                <w:b/>
                <w:bCs/>
              </w:rPr>
              <w:t xml:space="preserve">scaled/normalised to [0,1]</w:t>
            </w:r>
            <w:r>
              <w:t xml:space="preserve"> </w:t>
            </w:r>
            <w:r>
              <w:t xml:space="preserve">[2]</w:t>
            </w:r>
          </w:p>
        </w:tc>
        <w:tc>
          <w:tcPr/>
          <w:p>
            <w:pPr>
              <w:pStyle w:val="Compact"/>
            </w:pPr>
            <w:r>
              <w:t xml:space="preserve">Three groups — demographics; engagement (daily VLE clicks); performance (6 intermediary-assessment scores, final-exam score, attempts); also analysed cumulatively after each assessment. Finding:</w:t>
            </w:r>
            <w:r>
              <w:t xml:space="preserve"> </w:t>
            </w:r>
            <w:r>
              <w:rPr>
                <w:b/>
                <w:bCs/>
              </w:rPr>
              <w:t xml:space="preserve">engagement + performance</w:t>
            </w:r>
            <w:r>
              <w:t xml:space="preserve"> </w:t>
            </w:r>
            <w:r>
              <w:t xml:space="preserve">dominate; demographics</w:t>
            </w:r>
            <w:r>
              <w:t xml:space="preserve"> </w:t>
            </w:r>
            <w:r>
              <w:t xml:space="preserve">“did not show significant influence”</w:t>
            </w:r>
            <w:r>
              <w:t xml:space="preserve"> </w:t>
            </w:r>
            <w:r>
              <w:t xml:space="preserve">[2]</w:t>
            </w:r>
          </w:p>
        </w:tc>
        <w:tc>
          <w:tcPr/>
          <w:p>
            <w:pPr>
              <w:pStyle w:val="Compact"/>
            </w:pPr>
            <w:r>
              <w:rPr>
                <w:b/>
                <w:bCs/>
              </w:rPr>
              <w:t xml:space="preserve">Random split 80:20</w:t>
            </w:r>
            <w:r>
              <w:t xml:space="preserve"> </w:t>
            </w:r>
            <w:r>
              <w:t xml:space="preserve">(train:test), or</w:t>
            </w:r>
            <w:r>
              <w:t xml:space="preserve"> </w:t>
            </w:r>
            <w:r>
              <w:rPr>
                <w:b/>
                <w:bCs/>
              </w:rPr>
              <w:t xml:space="preserve">60:20:20</w:t>
            </w:r>
            <w:r>
              <w:t xml:space="preserve"> </w:t>
            </w:r>
            <w:r>
              <w:t xml:space="preserve">with a validation set for ANN;</w:t>
            </w:r>
            <w:r>
              <w:t xml:space="preserve"> </w:t>
            </w:r>
            <w:r>
              <w:rPr>
                <w:b/>
                <w:bCs/>
              </w:rPr>
              <w:t xml:space="preserve">k-fold CV for the ANN</w:t>
            </w:r>
            <w:r>
              <w:t xml:space="preserve"> </w:t>
            </w:r>
            <w:r>
              <w:t xml:space="preserve">(not for decision trees); F1 (classification) / RMSE (regression), averaged over</w:t>
            </w:r>
            <w:r>
              <w:t xml:space="preserve"> </w:t>
            </w:r>
            <w:r>
              <w:rPr>
                <w:b/>
                <w:bCs/>
              </w:rPr>
              <w:t xml:space="preserve">10 trials</w:t>
            </w:r>
            <w:r>
              <w:t xml:space="preserve"> </w:t>
            </w:r>
            <w:r>
              <w:t xml:space="preserve">[2]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Cleaning is generally light, but the studies diverge on missing data: Adnan et al. [1] mean-impute missing dates; Tomasevic et al. [2]</w:t>
      </w:r>
      <w:r>
        <w:t xml:space="preserve"> </w:t>
      </w:r>
      <w:r>
        <w:rPr>
          <w:b/>
          <w:bCs/>
        </w:rPr>
        <w:t xml:space="preserve">drop every row containing a missing value</w:t>
      </w:r>
      <w:r>
        <w:t xml:space="preserve"> </w:t>
      </w:r>
      <w:r>
        <w:t xml:space="preserve">(a non-attempted assessment) and normalise features to [0,1]; Gunasekara &amp; Saarela [4] drop excessively-missing rows/columns, normalise, and merge classes; Liu et al. [5] drop the 180 click-less students. Notably,</w:t>
      </w:r>
      <w:r>
        <w:t xml:space="preserve"> </w:t>
      </w:r>
      <w:r>
        <w:rPr>
          <w:b/>
          <w:bCs/>
        </w:rPr>
        <w:t xml:space="preserve">none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indeed [2] discards exactly those students — a gap our pipeline fills with the</w:t>
      </w:r>
      <w:r>
        <w:t xml:space="preserve"> </w:t>
      </w:r>
      <w:r>
        <w:rPr>
          <w:rStyle w:val="VerbatimChar"/>
        </w:rPr>
        <w:t xml:space="preserve">not_submitted</w:t>
      </w:r>
      <w:r>
        <w:t xml:space="preserve"> </w:t>
      </w:r>
      <w:r>
        <w:t xml:space="preserve">indicator instead of dropping them.</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random hold-out or k-fold cross-validation (10-fold in [1]; random 80:20 / 60:20:20 with k-fold for the ANN in [2];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2026-07-23T05:43:08Z</dcterms:created>
  <dcterms:modified xsi:type="dcterms:W3CDTF">2026-07-23T05:43:08Z</dcterms:modified>
</cp:coreProperties>
</file>

<file path=docProps/custom.xml><?xml version="1.0" encoding="utf-8"?>
<Properties xmlns="http://schemas.openxmlformats.org/officeDocument/2006/custom-properties" xmlns:vt="http://schemas.openxmlformats.org/officeDocument/2006/docPropsVTypes"/>
</file>