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4" w:name="report-2-data-tasks-documentation-index"/>
    <w:p>
      <w:pPr>
        <w:pStyle w:val="Heading1"/>
      </w:pPr>
      <w:r>
        <w:t xml:space="preserve">Report 2 — Data Tasks · Documentation Index</w:t>
      </w:r>
    </w:p>
    <w:p>
      <w:pPr>
        <w:pStyle w:val="FirstParagraph"/>
      </w:pPr>
      <w:r>
        <w:rPr>
          <w:b/>
          <w:bCs/>
        </w:rPr>
        <w:t xml:space="preserve">DSP391m – Group 1.</w:t>
      </w:r>
      <w:r>
        <w:t xml:space="preserve"> </w:t>
      </w:r>
      <w:r>
        <w:t xml:space="preserve">This folder holds the Chapter-3/4 deliverables for</w:t>
      </w:r>
      <w:r>
        <w:t xml:space="preserve"> </w:t>
      </w:r>
      <w:r>
        <w:rPr>
          <w:b/>
          <w:bCs/>
        </w:rPr>
        <w:t xml:space="preserve">Task 3 (Data Collection &amp; Preprocessing)</w:t>
      </w:r>
      <w:r>
        <w:t xml:space="preserve">. Documents are bilingual (</w:t>
      </w:r>
      <w:r>
        <w:rPr>
          <w:rStyle w:val="VerbatimChar"/>
        </w:rPr>
        <w:t xml:space="preserve">_EN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_VI</w:t>
      </w:r>
      <w:r>
        <w:t xml:space="preserve">) and provided as both Markdown and Word (</w:t>
      </w:r>
      <w:r>
        <w:rPr>
          <w:rStyle w:val="VerbatimChar"/>
        </w:rPr>
        <w:t xml:space="preserve">.docx</w:t>
      </w:r>
      <w:r>
        <w:t xml:space="preserve">); tabular catalogues are Excel; the signed originals are kept as PDF under</w:t>
      </w:r>
      <w:r>
        <w:t xml:space="preserve"> </w:t>
      </w:r>
      <w:r>
        <w:rPr>
          <w:rStyle w:val="VerbatimChar"/>
        </w:rPr>
        <w:t xml:space="preserve">08_agreements/</w:t>
      </w:r>
      <w:r>
        <w:t xml:space="preserve">. Vietnamese index:</w:t>
      </w:r>
      <w:r>
        <w:t xml:space="preserve"> </w:t>
      </w:r>
      <w:hyperlink r:id="rId9">
        <w:r>
          <w:rPr>
            <w:rStyle w:val="VerbatimChar"/>
          </w:rPr>
          <w:t xml:space="preserve">README_VI.md</w:t>
        </w:r>
      </w:hyperlink>
      <w:r>
        <w:t xml:space="preserve">.</w:t>
      </w:r>
    </w:p>
    <w:bookmarkStart w:id="10" w:name="task-3-coverage-map"/>
    <w:p>
      <w:pPr>
        <w:pStyle w:val="Heading2"/>
      </w:pPr>
      <w:r>
        <w:t xml:space="preserve">Task 3 coverage map</w:t>
      </w:r>
    </w:p>
    <w:p>
      <w:pPr>
        <w:pStyle w:val="FirstParagraph"/>
      </w:pPr>
      <w:r>
        <w:t xml:space="preserve">The folder layout follows the five required Task-3 analyses, so each requirement maps to one place: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 3 requirement</w:t>
            </w:r>
          </w:p>
        </w:tc>
        <w:tc>
          <w:tcPr/>
          <w:p>
            <w:pPr>
              <w:pStyle w:val="Compact"/>
            </w:pPr>
            <w:r>
              <w:t xml:space="preserve">Folder</w:t>
            </w:r>
          </w:p>
        </w:tc>
        <w:tc>
          <w:tcPr/>
          <w:p>
            <w:pPr>
              <w:pStyle w:val="Compact"/>
            </w:pPr>
            <w:r>
              <w:t xml:space="preserve">Key documents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— Identify the data the topic needs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01_data_specification/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Data_Specification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Target_Variable_Definition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Data_Dictionary</w:t>
            </w:r>
            <w:r>
              <w:t xml:space="preserve"> </w:t>
            </w:r>
            <w:r>
              <w:t xml:space="preserve">(.md/.docx/.xlsx),</w:t>
            </w:r>
            <w:r>
              <w:t xml:space="preserve"> </w:t>
            </w:r>
            <w:r>
              <w:rPr>
                <w:rStyle w:val="VerbatimChar"/>
              </w:rPr>
              <w:t xml:space="preserve">Variable_Typing.xlsx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— Analyse the data-collection method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02_collection/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Data_Collection_Methods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Data_Source_License_Ethics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 — Analyse the data-cleaning method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03_cleaning/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Cleaning_Methods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Leakage_Prevention_Rules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 — Standardise &amp; transform the data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04_transformation/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Transformation_Standardisation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Preprocessing_Sequence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Feature_Naming_Convention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5 — Analyse the train/test split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05_splitting/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Split_Strategy_Analysis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Supporting — evidence base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06_references/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Base_Studies_Comparison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Method_Justification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Supporting — standards &amp; reproducibility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07_standards/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Chart_Standards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Reproducibility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Supporting — signed originals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08_agreements/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Step0_Agreement_Nhom1.pdf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Leakage_Rules_Signed_Nhom1.pdf</w:t>
            </w:r>
          </w:p>
        </w:tc>
      </w:tr>
    </w:tbl>
    <w:p>
      <w:pPr>
        <w:pStyle w:val="BodyText"/>
      </w:pPr>
      <w:r>
        <w:t xml:space="preserve">The consolidated deliverable is the notebook series</w:t>
      </w:r>
      <w:r>
        <w:t xml:space="preserve"> </w:t>
      </w:r>
      <w:r>
        <w:rPr>
          <w:rStyle w:val="VerbatimChar"/>
        </w:rPr>
        <w:t xml:space="preserve">notebooks/00…06</w:t>
      </w:r>
      <w:r>
        <w:t xml:space="preserve"> </w:t>
      </w:r>
      <w:r>
        <w:t xml:space="preserve">together with this docs set (plus the slides in</w:t>
      </w:r>
      <w:r>
        <w:t xml:space="preserve"> </w:t>
      </w:r>
      <w:r>
        <w:rPr>
          <w:rStyle w:val="VerbatimChar"/>
        </w:rPr>
        <w:t xml:space="preserve">reports/slides/</w:t>
      </w:r>
      <w:r>
        <w:t xml:space="preserve">); for this chapter the executable counterparts are</w:t>
      </w:r>
      <w:r>
        <w:t xml:space="preserve"> </w:t>
      </w:r>
      <w:r>
        <w:rPr>
          <w:rStyle w:val="VerbatimChar"/>
        </w:rPr>
        <w:t xml:space="preserve">notebooks/01_build_master_table.ipynb</w:t>
      </w:r>
      <w:r>
        <w:t xml:space="preserve"> </w:t>
      </w:r>
      <w:r>
        <w:t xml:space="preserve">(build/clean) and</w:t>
      </w:r>
      <w:r>
        <w:t xml:space="preserve"> </w:t>
      </w:r>
      <w:r>
        <w:rPr>
          <w:rStyle w:val="VerbatimChar"/>
        </w:rPr>
        <w:t xml:space="preserve">notebooks/02_eda.ipynb</w:t>
      </w:r>
      <w:r>
        <w:t xml:space="preserve"> </w:t>
      </w:r>
      <w:r>
        <w:t xml:space="preserve">(Chapter 4 EDA).</w:t>
      </w:r>
    </w:p>
    <w:bookmarkEnd w:id="10"/>
    <w:bookmarkStart w:id="11" w:name="code-data-and-results-outside-docs"/>
    <w:p>
      <w:pPr>
        <w:pStyle w:val="Heading2"/>
      </w:pPr>
      <w:r>
        <w:t xml:space="preserve">Code, data and results (outside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pipeline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src/data/</w:t>
            </w:r>
            <w:r>
              <w:t xml:space="preserve"> </w:t>
            </w:r>
            <w:r>
              <w:t xml:space="preserve">(engagement, performance, master table, checkpoints, time utils),</w:t>
            </w:r>
            <w:r>
              <w:t xml:space="preserve"> </w:t>
            </w:r>
            <w:r>
              <w:rPr>
                <w:rStyle w:val="VerbatimChar"/>
              </w:rPr>
              <w:t xml:space="preserve">src/features/preprocessing.py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Split harness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src/evaluation/split_harness.py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src/eda/</w:t>
            </w:r>
            <w:r>
              <w:t xml:space="preserve"> </w:t>
            </w:r>
            <w:r>
              <w:t xml:space="preserve">→ figures in</w:t>
            </w:r>
            <w:r>
              <w:t xml:space="preserve"> </w:t>
            </w:r>
            <w:r>
              <w:rPr>
                <w:rStyle w:val="VerbatimChar"/>
              </w:rPr>
              <w:t xml:space="preserve">reports/figures/</w:t>
            </w:r>
            <w:r>
              <w:t xml:space="preserve">, statistical tables in</w:t>
            </w:r>
            <w:r>
              <w:t xml:space="preserve"> </w:t>
            </w:r>
            <w:r>
              <w:rPr>
                <w:rStyle w:val="VerbatimChar"/>
              </w:rPr>
              <w:t xml:space="preserve">reports/tables/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tests/test_leakage.py</w:t>
            </w:r>
            <w:r>
              <w:t xml:space="preserve"> </w:t>
            </w:r>
            <w:r>
              <w:t xml:space="preserve">(automated leakage/split suite)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Generators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tools/</w:t>
            </w:r>
            <w:r>
              <w:t xml:space="preserve"> </w:t>
            </w:r>
            <w:r>
              <w:t xml:space="preserve">(docx, notebooks, data dictionary, variable typing, sequence diagram)</w:t>
            </w:r>
          </w:p>
        </w:tc>
      </w:tr>
    </w:tbl>
    <w:bookmarkEnd w:id="11"/>
    <w:bookmarkStart w:id="12" w:name="train-test-data"/>
    <w:p>
      <w:pPr>
        <w:pStyle w:val="Heading2"/>
      </w:pPr>
      <w:r>
        <w:t xml:space="preserve">Train / test data</w:t>
      </w:r>
    </w:p>
    <w:p>
      <w:pPr>
        <w:pStyle w:val="FirstParagraph"/>
      </w:pPr>
      <w:r>
        <w:t xml:space="preserve">The split is defined</w:t>
      </w:r>
      <w:r>
        <w:t xml:space="preserve"> </w:t>
      </w:r>
      <w:r>
        <w:rPr>
          <w:b/>
          <w:bCs/>
        </w:rPr>
        <w:t xml:space="preserve">once</w:t>
      </w:r>
      <w:r>
        <w:t xml:space="preserve"> </w:t>
      </w:r>
      <w:r>
        <w:t xml:space="preserve">at the student level — a fixed</w:t>
      </w:r>
      <w:r>
        <w:t xml:space="preserve"> </w:t>
      </w:r>
      <w:r>
        <w:rPr>
          <w:b/>
          <w:bCs/>
        </w:rPr>
        <w:t xml:space="preserve">20% test set</w:t>
      </w:r>
      <w:r>
        <w:t xml:space="preserve"> </w:t>
      </w:r>
      <w:r>
        <w:t xml:space="preserve">keyed on</w:t>
      </w:r>
      <w:r>
        <w:t xml:space="preserve"> </w:t>
      </w:r>
      <w:r>
        <w:rPr>
          <w:rStyle w:val="VerbatimChar"/>
        </w:rPr>
        <w:t xml:space="preserve">id_student</w:t>
      </w:r>
      <w:r>
        <w:t xml:space="preserve"> </w:t>
      </w:r>
      <w:r>
        <w:t xml:space="preserve">(stratified by</w:t>
      </w:r>
      <w:r>
        <w:t xml:space="preserve"> </w:t>
      </w:r>
      <w:r>
        <w:rPr>
          <w:rStyle w:val="VerbatimChar"/>
        </w:rPr>
        <w:t xml:space="preserve">at_risk</w:t>
      </w:r>
      <w:r>
        <w:t xml:space="preserve">, seed 42) — and reused identically across</w:t>
      </w:r>
      <w:r>
        <w:t xml:space="preserve"> </w:t>
      </w:r>
      <w:r>
        <w:rPr>
          <w:rStyle w:val="VerbatimChar"/>
        </w:rPr>
        <w:t xml:space="preserve">master_raw</w:t>
      </w:r>
      <w:r>
        <w:t xml:space="preserve"> </w:t>
      </w:r>
      <w:r>
        <w:t xml:space="preserve">and all six checkpoints, so the six performance points are comparable (Tasks 7, 8, 15).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Artifact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  <w:r>
              <w:t xml:space="preserve">Tracked?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Canonical split definition (test</w:t>
            </w:r>
            <w:r>
              <w:t xml:space="preserve"> </w:t>
            </w:r>
            <w:r>
              <w:rPr>
                <w:rStyle w:val="VerbatimChar"/>
              </w:rPr>
              <w:t xml:space="preserve">id_student</w:t>
            </w:r>
            <w:r>
              <w:t xml:space="preserve"> </w:t>
            </w:r>
            <w:r>
              <w:t xml:space="preserve">list, 5,756 students)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data/splits/test_student_ids.csv</w:t>
            </w:r>
          </w:p>
        </w:tc>
        <w:tc>
          <w:tcPr/>
          <w:p>
            <w:pPr>
              <w:pStyle w:val="Compact"/>
            </w:pPr>
            <w:r>
              <w:t xml:space="preserve">✅ committed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Split verification report (sizes, class balance, 0 overlap)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reports/tables/split_report.csv</w:t>
            </w:r>
          </w:p>
        </w:tc>
        <w:tc>
          <w:tcPr/>
          <w:p>
            <w:pPr>
              <w:pStyle w:val="Compact"/>
            </w:pPr>
            <w:r>
              <w:t xml:space="preserve">✅ committed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Materialised train/test data (master + per checkpoint)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data/splits/*_train.parquet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*_test.parquet</w:t>
            </w:r>
          </w:p>
        </w:tc>
        <w:tc>
          <w:tcPr/>
          <w:p>
            <w:pPr>
              <w:pStyle w:val="Compact"/>
            </w:pPr>
            <w:r>
              <w:t xml:space="preserve">git-ignored (regenerable)</w:t>
            </w:r>
          </w:p>
        </w:tc>
      </w:tr>
    </w:tbl>
    <w:p>
      <w:pPr>
        <w:pStyle w:val="BodyText"/>
      </w:pPr>
      <w:r>
        <w:t xml:space="preserve">Generate them with</w:t>
      </w:r>
      <w:r>
        <w:t xml:space="preserve"> </w:t>
      </w:r>
      <w:r>
        <w:rPr>
          <w:rStyle w:val="VerbatimChar"/>
        </w:rPr>
        <w:t xml:space="preserve">python -m src.evaluation.make_split --materialise</w:t>
      </w:r>
      <w:r>
        <w:t xml:space="preserve">. The command is guarded: it reuses the committed</w:t>
      </w:r>
      <w:r>
        <w:t xml:space="preserve"> </w:t>
      </w:r>
      <w:r>
        <w:rPr>
          <w:rStyle w:val="VerbatimChar"/>
        </w:rPr>
        <w:t xml:space="preserve">test_student_ids.csv</w:t>
      </w:r>
      <w:r>
        <w:t xml:space="preserve"> </w:t>
      </w:r>
      <w:r>
        <w:t xml:space="preserve">and never re-derives the split on its own (the</w:t>
      </w:r>
      <w:r>
        <w:t xml:space="preserve"> </w:t>
      </w:r>
      <w:r>
        <w:rPr>
          <w:rStyle w:val="VerbatimChar"/>
        </w:rPr>
        <w:t xml:space="preserve">--rederive</w:t>
      </w:r>
      <w:r>
        <w:t xml:space="preserve"> </w:t>
      </w:r>
      <w:r>
        <w:t xml:space="preserve">flag is reserved for a whole-team decision, since re-deriving changes 4,574/5,756 ids). In the modelling phase, load a checkpoint’s split directly: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src.evaluation.make_split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load_checkpoint_split</w:t>
      </w:r>
      <w:r>
        <w:br/>
      </w:r>
      <w:r>
        <w:rPr>
          <w:rStyle w:val="NormalTok"/>
        </w:rPr>
        <w:t xml:space="preserve">X_train, X_test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load_checkpoint_split(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train/test for the 40% checkpoint</w:t>
      </w:r>
    </w:p>
    <w:p>
      <w:pPr>
        <w:pStyle w:val="FirstParagraph"/>
      </w:pPr>
      <w:r>
        <w:t xml:space="preserve">Verified: train ≈ 26,104 rows · test ≈ 6,489 rows (5,756 students) · at-risk 0.530 / 0.520 ·</w:t>
      </w:r>
      <w:r>
        <w:t xml:space="preserve"> </w:t>
      </w:r>
      <w:r>
        <w:rPr>
          <w:b/>
          <w:bCs/>
        </w:rPr>
        <w:t xml:space="preserve">0 student overlap</w:t>
      </w:r>
      <w:r>
        <w:t xml:space="preserve"> </w:t>
      </w:r>
      <w:r>
        <w:t xml:space="preserve">— identical across all six checkpoints.</w:t>
      </w:r>
    </w:p>
    <w:bookmarkEnd w:id="12"/>
    <w:bookmarkStart w:id="13" w:name="reproduce-everything"/>
    <w:p>
      <w:pPr>
        <w:pStyle w:val="Heading2"/>
      </w:pPr>
      <w:r>
        <w:t xml:space="preserve">Reproduce everything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setup_raw_data.py                 </w:t>
      </w:r>
      <w:r>
        <w:rPr>
          <w:rStyle w:val="CommentTok"/>
        </w:rPr>
        <w:t xml:space="preserve"># verify the 7 raw CSVs + manifest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src.data.time_utils            </w:t>
      </w:r>
      <w:r>
        <w:rPr>
          <w:rStyle w:val="CommentTok"/>
        </w:rPr>
        <w:t xml:space="preserve"># data/checkpoint_map.csv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src.data.build_master_table    </w:t>
      </w:r>
      <w:r>
        <w:rPr>
          <w:rStyle w:val="CommentTok"/>
        </w:rPr>
        <w:t xml:space="preserve"># master_raw.parquet (+ join/cleaning logs)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src.data.make_checkpoints      </w:t>
      </w:r>
      <w:r>
        <w:rPr>
          <w:rStyle w:val="CommentTok"/>
        </w:rPr>
        <w:t xml:space="preserve"># six checkpoint datasets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src.evaluation.make_split </w:t>
      </w:r>
      <w:r>
        <w:rPr>
          <w:rStyle w:val="AttributeTok"/>
        </w:rPr>
        <w:t xml:space="preserve">--materialise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fixed train/test split (+ report)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src.eda.eda                    </w:t>
      </w:r>
      <w:r>
        <w:rPr>
          <w:rStyle w:val="CommentTok"/>
        </w:rPr>
        <w:t xml:space="preserve"># figures + tables + eda_findings.json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tests/test_leakage.py             </w:t>
      </w:r>
      <w:r>
        <w:rPr>
          <w:rStyle w:val="CommentTok"/>
        </w:rPr>
        <w:t xml:space="preserve"># automated leakage/split tests</w:t>
      </w:r>
    </w:p>
    <w:p>
      <w:pPr>
        <w:pStyle w:val="BlockText"/>
      </w:pPr>
      <w:r>
        <w:t xml:space="preserve">Note: matplotlib figure generation needs an environment with a working font stack (see</w:t>
      </w:r>
      <w:r>
        <w:t xml:space="preserve"> </w:t>
      </w:r>
      <w:r>
        <w:rPr>
          <w:rStyle w:val="VerbatimChar"/>
        </w:rPr>
        <w:t xml:space="preserve">MEMORY</w:t>
      </w:r>
      <w:r>
        <w:t xml:space="preserve">/reproducibility doc). Derived</w:t>
      </w:r>
      <w:r>
        <w:t xml:space="preserve"> </w:t>
      </w:r>
      <w:r>
        <w:rPr>
          <w:rStyle w:val="VerbatimChar"/>
        </w:rPr>
        <w:t xml:space="preserve">*.parquet</w:t>
      </w:r>
      <w:r>
        <w:t xml:space="preserve"> </w:t>
      </w:r>
      <w:r>
        <w:t xml:space="preserve">datasets are git-ignored and regenerated by the pipeline.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README_VI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README_VI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2026-07-23T05:43:09Z</dcterms:created>
  <dcterms:modified xsi:type="dcterms:W3CDTF">2026-07-23T05:43:09Z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