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neuroscientist at the University of Minnesota;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2006 paper in</w:t>
      </w:r>
      <w:r>
        <w:t xml:space="preserve"> </w:t>
      </w:r>
      <w:r>
        <w:rPr>
          <w:i/>
          <w:iCs/>
        </w:rPr>
        <w:t xml:space="preserve">Nature</w:t>
      </w:r>
      <w:r>
        <w:t xml:space="preserve"> </w:t>
      </w:r>
      <w:r>
        <w:t xml:space="preserve">claimed to have isolated a form of amyloid-beta — “Aβ</w:t>
      </w:r>
      <w:r>
        <w:rPr>
          <w:i/>
          <w:iCs/>
        </w:rPr>
        <w:t xml:space="preserve">56” — that caused memory loss in rats. The paper anchored the leading theory of Alzheimer’s for sixteen years. In 2022, a whistleblower published evidence that dozens of Western blot images in Lesné’s papers had been digitally faked.</w:t>
      </w:r>
      <w:r>
        <w:rPr>
          <w:i/>
          <w:iCs/>
        </w:rPr>
        <w:t xml:space="preserve"> </w:t>
      </w:r>
      <w:r>
        <w:t xml:space="preserve">Nature* retracted the paper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crossroads of</w:t>
      </w:r>
      <w:r>
        <w:t xml:space="preserve"> </w:t>
      </w:r>
      <w:r>
        <w:rPr>
          <w:rStyle w:val="KeyTerm"/>
        </w:rPr>
        <w:t xml:space="preserve">research misconduct</w:t>
      </w:r>
      <w:r>
        <w:t xml:space="preserve">, the</w:t>
      </w:r>
      <w:r>
        <w:t xml:space="preserve"> </w:t>
      </w:r>
      <w:r>
        <w:rPr>
          <w:rStyle w:val="KeyTerm"/>
        </w:rPr>
        <w:t xml:space="preserve">replication crisis</w:t>
      </w:r>
      <w:r>
        <w:t xml:space="preserve">, and</w:t>
      </w:r>
      <w:r>
        <w:t xml:space="preserve"> </w:t>
      </w:r>
      <w:r>
        <w:rPr>
          <w:rStyle w:val="KeyTerm"/>
        </w:rPr>
        <w:t xml:space="preserve">subject protection</w:t>
      </w:r>
      <w:r>
        <w:t xml:space="preserve">. If a basic preclinical result is faked, every drug trial built on it enrolls human volunteers under false</w:t>
      </w:r>
      <w:r>
        <w:t xml:space="preserve"> </w:t>
      </w:r>
      <w:r>
        <w:rPr>
          <w:rStyle w:val="KeyTerm"/>
        </w:rPr>
        <w:t xml:space="preserve">clinical equipoise</w:t>
      </w:r>
      <w:r>
        <w:t xml:space="preserve"> </w:t>
      </w:r>
      <w:r>
        <w:t xml:space="preserve">— and the field’s billions in public funding rest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got a phone call. He was a junior neurologist at Vanderbilt, thirty-seven years old, soft-spoken, with a small sign on his desk reading</w:t>
      </w:r>
      <w:r>
        <w:t xml:space="preserve"> </w:t>
      </w:r>
      <w:r>
        <w:t xml:space="preserve">“Everything is figureoutable.”</w:t>
      </w:r>
      <w:r>
        <w:t xml:space="preserve"> </w:t>
      </w:r>
      <w:r>
        <w:t xml:space="preserve">A colleague wanted to connect him with an attorney. The attorney represented two short-sellers — investors betting that a small biotech, Cassava Sciences, would lose value. Cassava was developing an Alzheimer’s drug called Simufilam. The short-sellers thought the underlying research was fake. Would Schrag, who had already criticized the FDA’s approval of another anti-amyloid drug, agree to examine the published images? He said yes. Over the next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began as a paid side job became something larger. Schrag’s method was unglamorous. He downloaded published figures, zoomed in, and looked for telltale signs that an image had been built in Photoshop rather than captured from a real experiment:</w:t>
      </w:r>
    </w:p>
    <w:p>
      <w:pPr>
        <w:pStyle w:val="Compact"/>
        <w:numPr>
          <w:ilvl w:val="0"/>
          <w:numId w:val="1002"/>
        </w:numPr>
      </w:pPr>
      <w:r>
        <w:t xml:space="preserve">Patches of pixels repeated in places they should not be.</w:t>
      </w:r>
    </w:p>
    <w:p>
      <w:pPr>
        <w:pStyle w:val="Compact"/>
        <w:numPr>
          <w:ilvl w:val="0"/>
          <w:numId w:val="1002"/>
        </w:numPr>
      </w:pPr>
      <w:r>
        <w:t xml:space="preserve">Bands that looked identical when they should be unique.</w:t>
      </w:r>
    </w:p>
    <w:p>
      <w:pPr>
        <w:pStyle w:val="Compact"/>
        <w:numPr>
          <w:ilvl w:val="0"/>
          <w:numId w:val="1002"/>
        </w:numPr>
      </w:pPr>
      <w:r>
        <w:t xml:space="preserve">Edges too clean to come from a working gel.</w:t>
      </w:r>
    </w:p>
    <w:p>
      <w:pPr>
        <w:pStyle w:val="FirstParagraph"/>
      </w:pPr>
      <w:r>
        <w:t xml:space="preserve">His targets were</w:t>
      </w:r>
      <w:r>
        <w:t xml:space="preserve"> </w:t>
      </w:r>
      <w:r>
        <w:rPr>
          <w:rStyle w:val="KeyTerm"/>
        </w:rPr>
        <w:t xml:space="preserve">Western blots</w:t>
      </w:r>
      <w:r>
        <w:t xml:space="preserve">. A Western blot uses electricity to drag protein samples through a gel, separating them by size into stacked bands that are stained and photographed. Two blots from the same true experiment can never look pixel-identical. If they do, someone copied and pasted.</w:t>
      </w:r>
    </w:p>
    <w:p>
      <w:pPr>
        <w:pStyle w:val="ContextBox"/>
      </w:pPr>
      <w:r>
        <w:rPr>
          <w:b/>
          <w:bCs/>
        </w:rPr>
        <w:t xml:space="preserve">Western blot.</w:t>
      </w:r>
      <w:r>
        <w:t xml:space="preserve"> </w:t>
      </w:r>
      <w:r>
        <w:t xml:space="preserve">A Western blot detects a specific protein in a tissue or fluid sample. The sample runs through a gel that separates proteins by size. The proteins are then moved to a membrane and tagged with antibodies that bind only to the target protein. The result is a photograph of dark bands at certain positions — a visual fingerprint. The exact pattern of background noise and band shape is random, so two real blots should never match.</w:t>
      </w:r>
    </w:p>
    <w:p>
      <w:pPr>
        <w:pStyle w:val="BodyText"/>
      </w:pPr>
      <w:r>
        <w:t xml:space="preserve">While studying Cassava, Schrag noticed something far bigger. The same patterns of image trouble appeared in an older and much more famous paper: a 2006 article in</w:t>
      </w:r>
      <w:r>
        <w:t xml:space="preserve"> </w:t>
      </w:r>
      <w:r>
        <w:rPr>
          <w:i/>
          <w:iCs/>
        </w:rPr>
        <w:t xml:space="preserve">Nature</w:t>
      </w:r>
      <w:r>
        <w:t xml:space="preserve">, first-authored by Sylvain Lesné. Lesné was then a postdoc at the University of Minnesota, working with the well-known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The authors called it Aβ</w:t>
      </w:r>
      <w:r>
        <w:rPr>
          <w:i/>
          <w:iCs/>
        </w:rPr>
        <w:t xml:space="preserve">56 (pronounced</w:t>
      </w:r>
      <w:r>
        <w:rPr>
          <w:i/>
          <w:iCs/>
        </w:rPr>
        <w:t xml:space="preserve"> </w:t>
      </w:r>
      <w:r>
        <w:rPr>
          <w:i/>
          <w:iCs/>
        </w:rPr>
        <w:t xml:space="preserve">“A-beta star fifty-six”</w:t>
      </w:r>
      <w:r>
        <w:rPr>
          <w:i/>
          <w:iCs/>
        </w:rPr>
        <w:t xml:space="preserve">). They claimed that injecting purified Aβ</w:t>
      </w:r>
      <w:r>
        <w:t xml:space="preserve">56 into young rats made them fail memory tests they had passed before. In the language of biomedical research, this was a smoking gun. It was a direct claim that a particular amyloid species</w:t>
      </w:r>
      <w:r>
        <w:t xml:space="preserve"> </w:t>
      </w:r>
      <w:r>
        <w:rPr>
          <w:i/>
          <w:iCs/>
        </w:rPr>
        <w:t xml:space="preserve">causes</w:t>
      </w:r>
      <w:r>
        <w:t xml:space="preserve"> </w:t>
      </w:r>
      <w:r>
        <w:t xml:space="preserve">dementia, not merely tracks it.</w:t>
      </w:r>
    </w:p>
    <w:p>
      <w:pPr>
        <w:pStyle w:val="ContextBox"/>
      </w:pPr>
      <w:r>
        <w:rPr>
          <w:b/>
          <w:bCs/>
        </w:rPr>
        <w:t xml:space="preserve">The amyloid hypothesis.</w:t>
      </w:r>
      <w:r>
        <w:t xml:space="preserve"> </w:t>
      </w:r>
      <w:r>
        <w:t xml:space="preserve">Since the early 1990s, the leading theory of Alzheimer’s has held that sticky protein deposits called amyloid-beta plaques in the brain are a main cause of memory loss. The hypothesis has shaped drug development for thirty years. Hundreds of clinical trials have tested antibodies and small molecules meant to prevent, dissolve, or clear amyloid. Most have failed. The few approved drugs — aducanumab (Aduhelm), lecanemab, donanemab — produce small, disputed benefits and can cause brain swelling or bleeding.</w:t>
      </w:r>
    </w:p>
    <w:p>
      <w:pPr>
        <w:pStyle w:val="BodyText"/>
      </w:pPr>
      <w:r>
        <w:t xml:space="preserve">The 2006 paper was cited more than 2,300 times. It launched a generation of follow-up studies. It helped Lesné win his own NIH-funded lab at Minnesota in 2009. And, according to Schrag, dozens of the Western blots in it and in Lesné’s later papers showed signs of digital editing: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top independent image analysts and senior Alzheimer’s researchers, they agreed with him. The reviewers included:</w:t>
      </w:r>
    </w:p>
    <w:p>
      <w:pPr>
        <w:pStyle w:val="Compact"/>
        <w:numPr>
          <w:ilvl w:val="0"/>
          <w:numId w:val="1003"/>
        </w:numPr>
      </w:pPr>
      <w:r>
        <w:rPr>
          <w:b/>
          <w:bCs/>
        </w:rPr>
        <w:t xml:space="preserve">Elisabeth Bik</w:t>
      </w:r>
      <w:r>
        <w:t xml:space="preserve">, a microbiologist and the world’s best-known forensic image consultant.</w:t>
      </w:r>
    </w:p>
    <w:p>
      <w:pPr>
        <w:pStyle w:val="Compact"/>
        <w:numPr>
          <w:ilvl w:val="0"/>
          <w:numId w:val="1003"/>
        </w:numPr>
      </w:pPr>
      <w:r>
        <w:rPr>
          <w:b/>
          <w:bCs/>
        </w:rPr>
        <w:t xml:space="preserve">Donna Wilcock</w:t>
      </w:r>
      <w:r>
        <w:t xml:space="preserve">, an Alzheimer’s researcher at the University of Kentucky, who called some of the images</w:t>
      </w:r>
      <w:r>
        <w:t xml:space="preserve"> </w:t>
      </w:r>
      <w:r>
        <w:t xml:space="preserve">“shockingly blatant.”</w:t>
      </w:r>
    </w:p>
    <w:p>
      <w:pPr>
        <w:pStyle w:val="Compact"/>
        <w:numPr>
          <w:ilvl w:val="0"/>
          <w:numId w:val="1003"/>
        </w:numPr>
      </w:pPr>
      <w:r>
        <w:rPr>
          <w:b/>
          <w:bCs/>
        </w:rPr>
        <w:t xml:space="preserve">Thomas Südhof</w:t>
      </w:r>
      <w:r>
        <w:t xml:space="preserve">, a Nobel laureate at Stanford.</w:t>
      </w:r>
    </w:p>
    <w:p>
      <w:pPr>
        <w:pStyle w:val="FirstParagraph"/>
      </w:pP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appeared in</w:t>
      </w:r>
      <w:r>
        <w:t xml:space="preserve"> </w:t>
      </w:r>
      <w:r>
        <w:rPr>
          <w:i/>
          <w:iCs/>
        </w:rPr>
        <w:t xml:space="preserve">Science</w:t>
      </w:r>
      <w:r>
        <w:t xml:space="preserve"> </w:t>
      </w:r>
      <w:r>
        <w:t xml:space="preserve">in July 2022 under the title</w:t>
      </w:r>
      <w:r>
        <w:t xml:space="preserve"> </w:t>
      </w:r>
      <w:r>
        <w:t xml:space="preserve">“Blots on a Field?”</w:t>
      </w:r>
      <w:r>
        <w:t xml:space="preserve">. It named Schrag publicly for the first time. The fallout came in stages:</w:t>
      </w:r>
    </w:p>
    <w:p>
      <w:pPr>
        <w:pStyle w:val="Compact"/>
        <w:numPr>
          <w:ilvl w:val="0"/>
          <w:numId w:val="1004"/>
        </w:numPr>
      </w:pPr>
      <w:r>
        <w:rPr>
          <w:i/>
          <w:iCs/>
        </w:rPr>
        <w:t xml:space="preserve">Nature</w:t>
      </w:r>
      <w:r>
        <w:t xml:space="preserve"> </w:t>
      </w:r>
      <w:r>
        <w:t xml:space="preserve">issued an expression of concern within days of the article.</w:t>
      </w:r>
    </w:p>
    <w:p>
      <w:pPr>
        <w:pStyle w:val="Compact"/>
        <w:numPr>
          <w:ilvl w:val="0"/>
          <w:numId w:val="1004"/>
        </w:numPr>
      </w:pPr>
      <w:r>
        <w:t xml:space="preserve">In June 2024, the editors and most of the original authors agreed to retract the 2006 paper.</w:t>
      </w:r>
    </w:p>
    <w:p>
      <w:pPr>
        <w:pStyle w:val="Compact"/>
        <w:numPr>
          <w:ilvl w:val="0"/>
          <w:numId w:val="1004"/>
        </w:numPr>
      </w:pPr>
      <w:r>
        <w:t xml:space="preserve">In February 2025, the University of Minnesota concluded its inquiry. It found that Lesné had committed research misconduct, and he resigned his faculty post.</w:t>
      </w:r>
    </w:p>
    <w:p>
      <w:pPr>
        <w:pStyle w:val="FirstParagraph"/>
      </w:pPr>
      <w:r>
        <w:t xml:space="preserve">The deeper damage is harder to count.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The Aβ*56 affair turned out not to be alone. Over the next three years, Piller and his collaborators documented apparent image manipulation in the work of several other senior figures:</w:t>
      </w:r>
    </w:p>
    <w:p>
      <w:pPr>
        <w:pStyle w:val="Compact"/>
        <w:numPr>
          <w:ilvl w:val="0"/>
          <w:numId w:val="1005"/>
        </w:numPr>
      </w:pPr>
      <w:r>
        <w:rPr>
          <w:b/>
          <w:bCs/>
        </w:rPr>
        <w:t xml:space="preserve">Eliezer Masliah</w:t>
      </w:r>
      <w:r>
        <w:t xml:space="preserve">, hired in 2016 to lead the National Institute on Aging’s expanded Alzheimer’s program.</w:t>
      </w:r>
    </w:p>
    <w:p>
      <w:pPr>
        <w:pStyle w:val="Compact"/>
        <w:numPr>
          <w:ilvl w:val="0"/>
          <w:numId w:val="1005"/>
        </w:numPr>
      </w:pPr>
      <w:r>
        <w:rPr>
          <w:b/>
          <w:bCs/>
        </w:rPr>
        <w:t xml:space="preserve">Berislav Zlokovic</w:t>
      </w:r>
      <w:r>
        <w:t xml:space="preserve">, a stroke researcher at USC whose work supported a federally funded trial that was later suspended.</w:t>
      </w:r>
    </w:p>
    <w:p>
      <w:pPr>
        <w:pStyle w:val="Compact"/>
        <w:numPr>
          <w:ilvl w:val="0"/>
          <w:numId w:val="1005"/>
        </w:numPr>
      </w:pPr>
      <w:r>
        <w:rPr>
          <w:b/>
          <w:bCs/>
        </w:rPr>
        <w:t xml:space="preserve">Marc Tessier-Lavigne</w:t>
      </w:r>
      <w:r>
        <w:t xml:space="preserve">, the president of Stanford University, who resigned in 2023 after a student journalist found altered images in papers from his lab.</w:t>
      </w:r>
    </w:p>
    <w:p>
      <w:pPr>
        <w:pStyle w:val="FirstParagraph"/>
      </w:pPr>
      <w:r>
        <w:t xml:space="preserve">Across forty-six leading Alzheimer’s researchers, imaging experts flagged nearly six hundred suspect papers. Those papers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faked data. That question is now largely settled. The harder question is what it means for a field, and for the human volunteers downstream of it, when a basic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The Lesné affair is interesting less for the misconduct itself than for the quality of the disagreement it produced. The disagreement is about what counts as harm, what counts as evidence, and what a medical research enterprise owes the people who enroll in its trials. What follows is a connected exchange. Each move answers the last.</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is careful, but it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faked, the trials built on it cannot meet</w:t>
      </w:r>
      <w:r>
        <w:t xml:space="preserve"> </w:t>
      </w:r>
      <w:r>
        <w:rPr>
          <w:rStyle w:val="KeyTerm"/>
        </w:rPr>
        <w:t xml:space="preserve">clinical equipoise</w:t>
      </w:r>
      <w:r>
        <w:t xml:space="preserve">. Equipoise is the rule that a community of skilled clinicians must be in honest, good-faith doubt about whether the experimental treatment beats the alternative. Equipoise is what makes it acceptable to expose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6"/>
        </w:numPr>
      </w:pPr>
      <w:r>
        <w:t xml:space="preserve">A clinical trial is ethically permissible only if there is genuine community equipoise about whether the experimental intervention will benefit participants.</w:t>
      </w:r>
    </w:p>
    <w:p>
      <w:pPr>
        <w:pStyle w:val="Compact"/>
        <w:numPr>
          <w:ilvl w:val="0"/>
          <w:numId w:val="1006"/>
        </w:numPr>
      </w:pPr>
      <w:r>
        <w:t xml:space="preserve">Equipoise requires that the preclinical evidence supporting the intervention be honestly produced.</w:t>
      </w:r>
    </w:p>
    <w:p>
      <w:pPr>
        <w:pStyle w:val="Compact"/>
        <w:numPr>
          <w:ilvl w:val="0"/>
          <w:numId w:val="1006"/>
        </w:numPr>
      </w:pPr>
      <w:r>
        <w:t xml:space="preserve">Several anti-amyloid drug programs rely, directly or by citation chain, on preclinical results that appear to have been faked.</w:t>
      </w:r>
    </w:p>
    <w:p>
      <w:pPr>
        <w:pStyle w:val="Compact"/>
        <w:numPr>
          <w:ilvl w:val="0"/>
          <w:numId w:val="1006"/>
        </w:numPr>
      </w:pPr>
      <w:r>
        <w:t xml:space="preserve">Therefore, those trials enroll participants under a false equipoise and violate the conditions for ethical research.</w:t>
      </w:r>
    </w:p>
    <w:p>
      <w:pPr>
        <w:pStyle w:val="FirstParagraph"/>
      </w:pPr>
      <w:r>
        <w:t xml:space="preserve">The disputed premise is the second one. Does equipoise depend on the honesty of the preclinical evidence in particular, or on the honesty of the broader scientific community at any given moment? If the field still has other good reasons to believe amyloid matters, perhaps a single faked study does not poison the well. That is where the main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can grant most of Schrag’s facts and still resist his conclusion. The hypothesis does not stand or fall with Aβ*56. The link between amyloid and Alzheimer’s was established long before 2006. Three independent lines of evidence pointed at it:</w:t>
      </w:r>
    </w:p>
    <w:p>
      <w:pPr>
        <w:pStyle w:val="Compact"/>
        <w:numPr>
          <w:ilvl w:val="0"/>
          <w:numId w:val="1007"/>
        </w:numPr>
      </w:pPr>
      <w:r>
        <w:rPr>
          <w:b/>
          <w:bCs/>
        </w:rPr>
        <w:t xml:space="preserve">Pathology.</w:t>
      </w:r>
      <w:r>
        <w:t xml:space="preserve"> </w:t>
      </w:r>
      <w:r>
        <w:t xml:space="preserve">Amyloid plaques were identified in Alois Alzheimer’s original 1906 case.</w:t>
      </w:r>
    </w:p>
    <w:p>
      <w:pPr>
        <w:pStyle w:val="Compact"/>
        <w:numPr>
          <w:ilvl w:val="0"/>
          <w:numId w:val="1007"/>
        </w:numPr>
      </w:pPr>
      <w:r>
        <w:rPr>
          <w:b/>
          <w:bCs/>
        </w:rPr>
        <w:t xml:space="preserve">Genetics.</w:t>
      </w:r>
      <w:r>
        <w:t xml:space="preserve"> </w:t>
      </w:r>
      <w:r>
        <w:t xml:space="preserve">The amyloid-precursor-protein gene was tied to inherited Alzheimer’s in 1991.</w:t>
      </w:r>
    </w:p>
    <w:p>
      <w:pPr>
        <w:pStyle w:val="Compact"/>
        <w:numPr>
          <w:ilvl w:val="0"/>
          <w:numId w:val="1007"/>
        </w:numPr>
      </w:pPr>
      <w:r>
        <w:rPr>
          <w:b/>
          <w:bCs/>
        </w:rPr>
        <w:t xml:space="preserve">Down syndrome.</w:t>
      </w:r>
      <w:r>
        <w:t xml:space="preserve"> </w:t>
      </w:r>
      <w:r>
        <w:t xml:space="preserve">People with an extra copy of that gene develop early Alzheimer’s pathology with striking reliability.</w:t>
      </w:r>
    </w:p>
    <w:p>
      <w:pPr>
        <w:pStyle w:val="FirstParagraph"/>
      </w:pPr>
      <w:r>
        <w:t xml:space="preserve">Aβ*56 was one proposed mechanism among many. Losing it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8"/>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8"/>
        </w:numPr>
      </w:pPr>
      <w:r>
        <w:t xml:space="preserve">The amyloid hypothesis is supported by multiple independent lines of evidence (genetics, pathology, imaging) that do not depend on Lesné’s work.</w:t>
      </w:r>
    </w:p>
    <w:p>
      <w:pPr>
        <w:pStyle w:val="Compact"/>
        <w:numPr>
          <w:ilvl w:val="0"/>
          <w:numId w:val="1008"/>
        </w:numPr>
      </w:pPr>
      <w:r>
        <w:t xml:space="preserve">Therefore, even if Lesné’s specific findings are faked, current anti-amyloid trials need not violate equipoise.</w:t>
      </w:r>
    </w:p>
    <w:p>
      <w:pPr>
        <w:pStyle w:val="FirstParagraph"/>
      </w:pPr>
      <w:r>
        <w:t xml:space="preserve">The reply’s soft spot is empirical. How much of the field’s confidence in amyloid actually traveled — by citation and by influence on grant decisions —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on its own,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condition being treated — are vulnerable subjects. They suffer from what the bioethicist Paul Appelbaum named the</w:t>
      </w:r>
      <w:r>
        <w:t xml:space="preserve"> </w:t>
      </w:r>
      <w:r>
        <w:rPr>
          <w:rStyle w:val="KeyTerm"/>
        </w:rPr>
        <w:t xml:space="preserve">therapeutic misconception</w:t>
      </w:r>
      <w:r>
        <w:t xml:space="preserve">. This is the tendency of seriously ill research participants to believe that what is being done to them is being chosen for their personal benefit, the way a doctor’s prescription would be.</w:t>
      </w:r>
    </w:p>
    <w:p>
      <w:pPr>
        <w:pStyle w:val="ContextBox"/>
      </w:pPr>
      <w:r>
        <w:rPr>
          <w:b/>
          <w:bCs/>
        </w:rPr>
        <w:t xml:space="preserve">Therapeutic misconception.</w:t>
      </w:r>
      <w:r>
        <w:t xml:space="preserve"> </w:t>
      </w:r>
      <w:r>
        <w:t xml:space="preserve">The therapeutic misconception is the false but natural belief that a research protocol is a form of personalized care. Patients in trials commonly do three things at once:</w:t>
      </w:r>
    </w:p>
    <w:p>
      <w:pPr>
        <w:pStyle w:val="Compact"/>
        <w:numPr>
          <w:ilvl w:val="0"/>
          <w:numId w:val="1009"/>
        </w:numPr>
      </w:pPr>
      <w:r>
        <w:t xml:space="preserve">They underestimate the chance of being randomized to placebo.</w:t>
      </w:r>
    </w:p>
    <w:p>
      <w:pPr>
        <w:pStyle w:val="Compact"/>
        <w:numPr>
          <w:ilvl w:val="0"/>
          <w:numId w:val="1009"/>
        </w:numPr>
      </w:pPr>
      <w:r>
        <w:t xml:space="preserve">They overestimate the chance of personal benefit.</w:t>
      </w:r>
    </w:p>
    <w:p>
      <w:pPr>
        <w:pStyle w:val="Compact"/>
        <w:numPr>
          <w:ilvl w:val="0"/>
          <w:numId w:val="1009"/>
        </w:numPr>
      </w:pPr>
      <w:r>
        <w:t xml:space="preserve">They fail to register that the trial’s main purpose is general knowledge, not their own treatment.</w:t>
      </w:r>
    </w:p>
    <w:p>
      <w:pPr>
        <w:pStyle w:val="ContextBox"/>
      </w:pPr>
      <w:r>
        <w:t xml:space="preserve">The misconception is strongest in conditions like Alzheimer’s, where standard care offers little hope.</w:t>
      </w:r>
    </w:p>
    <w:p>
      <w:pPr>
        <w:pStyle w:val="BodyText"/>
      </w:pPr>
      <w:r>
        <w:t xml:space="preserve">The structural harm, in this telling, is not that the trials produced bad medical outcomes. Many anti-amyloid trials are honestly run by investigators who had no idea anything was wrong with the preclinical literature. The harm is that the</w:t>
      </w:r>
      <w:r>
        <w:t xml:space="preserve"> </w:t>
      </w:r>
      <w:r>
        <w:rPr>
          <w:i/>
          <w:iCs/>
        </w:rPr>
        <w:t xml:space="preserve">consent</w:t>
      </w:r>
      <w:r>
        <w:t xml:space="preserve"> </w:t>
      </w:r>
      <w:r>
        <w:t xml:space="preserve">the participants gave was undermined upstream. They were told, in effect, that skilled independent researchers had reason to believe the drug might help. That claim turned out, in part, to be false. The wrong is a wrong of disclosure and of respect for persons. It is not erased by the fact that the trialists were themselves deceived. Here is where Kant’s idea of treating persons as ends, never merely as means, earns its keep. A research subject used to test a drug whose preclinical basis was faked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w:t>
      </w:r>
      <w:r>
        <w:t xml:space="preserve"> </w:t>
      </w:r>
      <w:r>
        <w:t xml:space="preserve">(</w:t>
      </w:r>
      <w:hyperlink w:anchor="ref-stegenga2018">
        <w:r>
          <w:rPr>
            <w:rStyle w:val="Hyperlink"/>
          </w:rPr>
          <w:t xml:space="preserve">Stegenga 2018</w:t>
        </w:r>
      </w:hyperlink>
      <w:r>
        <w:t xml:space="preserve">)</w:t>
      </w:r>
      <w:r>
        <w:t xml:space="preserve">. The reason is not that researchers cheat. It is that even honest clinical evidence is shaped by structural problems:</w:t>
      </w:r>
    </w:p>
    <w:p>
      <w:pPr>
        <w:pStyle w:val="Compact"/>
        <w:numPr>
          <w:ilvl w:val="0"/>
          <w:numId w:val="1010"/>
        </w:numPr>
      </w:pPr>
      <w:r>
        <w:t xml:space="preserve">Small effect sizes.</w:t>
      </w:r>
    </w:p>
    <w:p>
      <w:pPr>
        <w:pStyle w:val="Compact"/>
        <w:numPr>
          <w:ilvl w:val="0"/>
          <w:numId w:val="1010"/>
        </w:numPr>
      </w:pPr>
      <w:r>
        <w:t xml:space="preserve">Selective publication of positive results.</w:t>
      </w:r>
    </w:p>
    <w:p>
      <w:pPr>
        <w:pStyle w:val="Compact"/>
        <w:numPr>
          <w:ilvl w:val="0"/>
          <w:numId w:val="1010"/>
        </w:numPr>
      </w:pPr>
      <w:r>
        <w:rPr>
          <w:i/>
          <w:iCs/>
        </w:rPr>
        <w:t xml:space="preserve">p</w:t>
      </w:r>
      <w:r>
        <w:t xml:space="preserve">-hacking — running analyses until something looks significant.</w:t>
      </w:r>
    </w:p>
    <w:p>
      <w:pPr>
        <w:pStyle w:val="Compact"/>
        <w:numPr>
          <w:ilvl w:val="0"/>
          <w:numId w:val="1010"/>
        </w:numPr>
      </w:pPr>
      <w:r>
        <w:t xml:space="preserve">Surrogate endpoints that may not track real benefit.</w:t>
      </w:r>
    </w:p>
    <w:p>
      <w:pPr>
        <w:pStyle w:val="Compact"/>
        <w:numPr>
          <w:ilvl w:val="0"/>
          <w:numId w:val="1010"/>
        </w:numPr>
      </w:pPr>
      <w:r>
        <w:t xml:space="preserve">Conflicts of interest from industry funding.</w:t>
      </w:r>
    </w:p>
    <w:p>
      <w:pPr>
        <w:pStyle w:val="Compact"/>
        <w:numPr>
          <w:ilvl w:val="0"/>
          <w:numId w:val="1010"/>
        </w:numPr>
      </w:pPr>
      <w:r>
        <w:t xml:space="preserve">Career pressure to find positive results.</w:t>
      </w:r>
    </w:p>
    <w:p>
      <w:pPr>
        <w:pStyle w:val="FirstParagraph"/>
      </w:pPr>
      <w:r>
        <w:t xml:space="preserve">On Stegenga’s view, the Lesné case is not an outlier in an otherwise healthy science. It is a dramatic version of the field’s normal pathology.</w:t>
      </w:r>
    </w:p>
    <w:p>
      <w:pPr>
        <w:pStyle w:val="BodyText"/>
      </w:pPr>
      <w:r>
        <w:rPr>
          <w:b/>
          <w:bCs/>
        </w:rPr>
        <w:t xml:space="preserve">The Medical Nihilism Argument</w:t>
      </w:r>
    </w:p>
    <w:p>
      <w:pPr>
        <w:pStyle w:val="Compact"/>
        <w:numPr>
          <w:ilvl w:val="0"/>
          <w:numId w:val="1011"/>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11"/>
        </w:numPr>
      </w:pPr>
      <w:r>
        <w:t xml:space="preserve">Once those distortions are properly discounted, the residual evidence shows that most medical interventions deliver small benefits relative to their harms and costs.</w:t>
      </w:r>
    </w:p>
    <w:p>
      <w:pPr>
        <w:pStyle w:val="Compact"/>
        <w:numPr>
          <w:ilvl w:val="0"/>
          <w:numId w:val="1011"/>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w:t>
      </w:r>
    </w:p>
    <w:p>
      <w:pPr>
        <w:pStyle w:val="BodyText"/>
      </w:pPr>
      <w:r>
        <w:t xml:space="preserve">The two anti-amyloid drugs to reach the U.S. market are a test case. The first was Biogen’s aducanumab, sold as Aduhelm. The FDA approved it in June 2021 over the near-unanimous objection of its own advisory committee. Three committee members resigned in protest. Key facts:</w:t>
      </w:r>
    </w:p>
    <w:p>
      <w:pPr>
        <w:pStyle w:val="Compact"/>
        <w:numPr>
          <w:ilvl w:val="0"/>
          <w:numId w:val="1012"/>
        </w:numPr>
      </w:pPr>
      <w:r>
        <w:t xml:space="preserve">The approval used the</w:t>
      </w:r>
      <w:r>
        <w:t xml:space="preserve"> </w:t>
      </w:r>
      <w:r>
        <w:rPr>
          <w:rStyle w:val="KeyTerm"/>
        </w:rPr>
        <w:t xml:space="preserve">accelerated approval</w:t>
      </w:r>
      <w:r>
        <w:t xml:space="preserve"> </w:t>
      </w:r>
      <w:r>
        <w:t xml:space="preserve">pathway. This pathway lets a drug reach patients based on a</w:t>
      </w:r>
      <w:r>
        <w:t xml:space="preserve"> </w:t>
      </w:r>
      <w:r>
        <w:rPr>
          <w:rStyle w:val="KeyTerm"/>
        </w:rPr>
        <w:t xml:space="preserve">surrogate endpoint</w:t>
      </w:r>
      <w:r>
        <w:t xml:space="preserve"> </w:t>
      </w:r>
      <w:r>
        <w:t xml:space="preserve">— here, the clearance of amyloid plaques from PET scans — rather than direct evidence that patients live longer or think more clearly.</w:t>
      </w:r>
    </w:p>
    <w:p>
      <w:pPr>
        <w:pStyle w:val="Compact"/>
        <w:numPr>
          <w:ilvl w:val="0"/>
          <w:numId w:val="1012"/>
        </w:numPr>
      </w:pPr>
      <w:r>
        <w:t xml:space="preserve">The two pivotal trials had been stopped early for futility.</w:t>
      </w:r>
    </w:p>
    <w:p>
      <w:pPr>
        <w:pStyle w:val="Compact"/>
        <w:numPr>
          <w:ilvl w:val="0"/>
          <w:numId w:val="1012"/>
        </w:numPr>
      </w:pPr>
      <w:r>
        <w:t xml:space="preserve">A post hoc re-analysis of a subset of patients given the highest dose produced a slim positive signal. The FDA accepted it.</w:t>
      </w:r>
    </w:p>
    <w:p>
      <w:pPr>
        <w:pStyle w:val="Compact"/>
        <w:numPr>
          <w:ilvl w:val="0"/>
          <w:numId w:val="1012"/>
        </w:numPr>
      </w:pPr>
      <w:r>
        <w:t xml:space="preserve">Biogen priced the drug at $56,000 per patient per year. The Medicare program raised Part B premiums for every beneficiary in the country to cover the projected cost.</w:t>
      </w:r>
    </w:p>
    <w:p>
      <w:pPr>
        <w:pStyle w:val="Compact"/>
        <w:numPr>
          <w:ilvl w:val="0"/>
          <w:numId w:val="1012"/>
        </w:numPr>
      </w:pPr>
      <w:r>
        <w:t xml:space="preserve">By early 2024, Biogen had withdrawn Aduhelm from the market for commercial failure.</w:t>
      </w:r>
    </w:p>
    <w:p>
      <w:pPr>
        <w:pStyle w:val="ContextBox"/>
      </w:pPr>
      <w:r>
        <w:rPr>
          <w:b/>
          <w:bCs/>
        </w:rPr>
        <w:t xml:space="preserve">Accelerated approval and surrogate endpoints.</w:t>
      </w:r>
      <w:r>
        <w:t xml:space="preserve"> </w:t>
      </w:r>
      <w:r>
        <w:t xml:space="preserve">Accelerated approval is an FDA pathway that lets a drug for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maker must complete confirmatory trials after approval. The pathway speeds access in conditions like cancer and HIV. Its risk is that the surrogate sometimes fails to track what patients actually care about: surviving longer, thinking more clearly, walking without help.</w:t>
      </w:r>
    </w:p>
    <w:p>
      <w:pPr>
        <w:pStyle w:val="BodyText"/>
      </w:pPr>
      <w:r>
        <w:t xml:space="preserve">Lecanemab (sold as Leqembi) and donanemab (Kisunla) are the successors. The FDA approved lecanemab in January 2023 and donanemab in July 2024. Their trials were not stopped early. Their data are real. The headline numbers:</w:t>
      </w:r>
    </w:p>
    <w:p>
      <w:pPr>
        <w:pStyle w:val="Compact"/>
        <w:numPr>
          <w:ilvl w:val="0"/>
          <w:numId w:val="1013"/>
        </w:numPr>
      </w:pPr>
      <w:r>
        <w:t xml:space="preserve">They slow cognitive decline by about half a point on the eighteen-point Clinical Dementia Rating Sum of Boxes scale over eighteen months. Many neurologists openly doubt whether that difference matters in daily life.</w:t>
      </w:r>
    </w:p>
    <w:p>
      <w:pPr>
        <w:pStyle w:val="Compact"/>
        <w:numPr>
          <w:ilvl w:val="0"/>
          <w:numId w:val="1013"/>
        </w:numPr>
      </w:pPr>
      <w:r>
        <w:t xml:space="preserve">They cause</w:t>
      </w:r>
      <w:r>
        <w:t xml:space="preserve"> </w:t>
      </w:r>
      <w:r>
        <w:rPr>
          <w:rStyle w:val="KeyTerm"/>
        </w:rPr>
        <w:t xml:space="preserve">amyloid-related imaging abnormalities</w:t>
      </w:r>
      <w:r>
        <w:t xml:space="preserve"> </w:t>
      </w:r>
      <w:r>
        <w:t xml:space="preserve">(ARIA) — brain swelling or small bleeds visible on MRI — in roughly one in five treated patients, with rare but documented deaths.</w:t>
      </w:r>
    </w:p>
    <w:p>
      <w:pPr>
        <w:pStyle w:val="Compact"/>
        <w:numPr>
          <w:ilvl w:val="0"/>
          <w:numId w:val="1013"/>
        </w:numPr>
      </w:pPr>
      <w:r>
        <w:t xml:space="preserve">Annual cost runs to about $26,000 per patient. That figure does not include infusion, monitoring MRI, or clinic fees, all of which Medicare now covers.</w:t>
      </w:r>
    </w:p>
    <w:p>
      <w:pPr>
        <w:pStyle w:val="FirstParagraph"/>
      </w:pPr>
      <w:r>
        <w:t xml:space="preserve">If Stegenga is right, the bioethical question is not only</w:t>
      </w:r>
      <w:r>
        <w:t xml:space="preserve"> </w:t>
      </w:r>
      <w:r>
        <w:t xml:space="preserve">“how do we catch the next Lesné?”</w:t>
      </w:r>
      <w:r>
        <w:t xml:space="preserve"> </w:t>
      </w:r>
      <w:r>
        <w:t xml:space="preserve">It is</w:t>
      </w:r>
      <w:r>
        <w:t xml:space="preserve"> </w:t>
      </w:r>
      <w:r>
        <w:t xml:space="preserve">“what should we do when even our non-fraudulent medicine routinely overpromises?”</w:t>
      </w:r>
      <w:r>
        <w:t xml:space="preserve"> </w:t>
      </w:r>
      <w:r>
        <w:t xml:space="preserve">The amyloid program looks, on this view, like a field that absorbed faked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The default should lean toward less intervention. Aggressive treatment should be reserved for cases where the evidence base clears a high bar:</w:t>
      </w:r>
    </w:p>
    <w:p>
      <w:pPr>
        <w:pStyle w:val="BodyText"/>
      </w:pPr>
      <w:r>
        <w:rPr>
          <w:b/>
          <w:bCs/>
        </w:rPr>
        <w:t xml:space="preserve">The Gentle Medicine Argument</w:t>
      </w:r>
    </w:p>
    <w:p>
      <w:pPr>
        <w:pStyle w:val="Compact"/>
        <w:numPr>
          <w:ilvl w:val="0"/>
          <w:numId w:val="1014"/>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14"/>
        </w:numPr>
      </w:pPr>
      <w:r>
        <w:t xml:space="preserve">For most medical interventions in their current evidence base, confidence in benefit is low and harms are non-trivial.</w:t>
      </w:r>
    </w:p>
    <w:p>
      <w:pPr>
        <w:pStyle w:val="Compact"/>
        <w:numPr>
          <w:ilvl w:val="0"/>
          <w:numId w:val="1014"/>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 itself a choice with costs. Some patients would have benefited. Family caregivers carry a heavy burden the drug was meant, however slightly, to ease. The argument does not, on its own, tell a memory-clinic nurse what to say to a frightened sixty-eight-year-old. It does suggest the conversation should start somewhere other than the brochure.</w:t>
      </w:r>
    </w:p>
    <w:p>
      <w:pPr>
        <w:pStyle w:val="BodyText"/>
      </w:pPr>
      <w:r>
        <w:t xml:space="preserve">This is not a comforting frame. It implies that better misconduct policing — sharper image-forensics software, mandatory raw-data deposits, stronger journal retraction rules — addresses a real problem but not the deepest one. The deepest problem is the gap between what biomedical research can reliably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The institutional fallout has been steady:</w:t>
      </w:r>
    </w:p>
    <w:p>
      <w:pPr>
        <w:pStyle w:val="Compact"/>
        <w:numPr>
          <w:ilvl w:val="0"/>
          <w:numId w:val="1015"/>
        </w:numPr>
      </w:pPr>
      <w:r>
        <w:rPr>
          <w:b/>
          <w:bCs/>
        </w:rPr>
        <w:t xml:space="preserve">June 2024.</w:t>
      </w:r>
      <w:r>
        <w:t xml:space="preserve"> </w:t>
      </w:r>
      <w:r>
        <w:t xml:space="preserve">The original authors of the Aβ*56 paper agreed to retract it.</w:t>
      </w:r>
    </w:p>
    <w:p>
      <w:pPr>
        <w:pStyle w:val="Compact"/>
        <w:numPr>
          <w:ilvl w:val="0"/>
          <w:numId w:val="1015"/>
        </w:numPr>
      </w:pPr>
      <w:r>
        <w:rPr>
          <w:b/>
          <w:bCs/>
        </w:rPr>
        <w:t xml:space="preserve">September 2024.</w:t>
      </w:r>
      <w:r>
        <w:t xml:space="preserve"> </w:t>
      </w:r>
      <w:r>
        <w:t xml:space="preserve">The NIH found that Eliezer Masliah — until that month the leader of the agency’s Alzheimer’s program — had committed research misconduct. He was removed from his post</w:t>
      </w:r>
      <w:r>
        <w:t xml:space="preserve"> </w:t>
      </w:r>
      <w:r>
        <w:t xml:space="preserve">(</w:t>
      </w:r>
      <w:hyperlink w:anchor="ref-piller2025">
        <w:r>
          <w:rPr>
            <w:rStyle w:val="Hyperlink"/>
          </w:rPr>
          <w:t xml:space="preserve">Piller 2025</w:t>
        </w:r>
      </w:hyperlink>
      <w:r>
        <w:t xml:space="preserve">)</w:t>
      </w:r>
      <w:r>
        <w:t xml:space="preserve">.</w:t>
      </w:r>
    </w:p>
    <w:p>
      <w:pPr>
        <w:pStyle w:val="Compact"/>
        <w:numPr>
          <w:ilvl w:val="0"/>
          <w:numId w:val="1015"/>
        </w:numPr>
      </w:pPr>
      <w:r>
        <w:rPr>
          <w:b/>
          <w:bCs/>
        </w:rPr>
        <w:t xml:space="preserve">February 2025.</w:t>
      </w:r>
      <w:r>
        <w:t xml:space="preserve"> </w:t>
      </w:r>
      <w:r>
        <w:t xml:space="preserve">The University of Minnesota concluded its inquiry. Lesné resigned.</w:t>
      </w:r>
    </w:p>
    <w:p>
      <w:pPr>
        <w:pStyle w:val="FirstParagraph"/>
      </w:pPr>
      <w:r>
        <w:t xml:space="preserve">None of these moves answers the live question.</w:t>
      </w:r>
    </w:p>
    <w:p>
      <w:pPr>
        <w:pStyle w:val="BodyText"/>
      </w:pPr>
      <w:r>
        <w:t xml:space="preserve">The live question is what biomedical research should do now that the tools of image faking and the tools of image forensics are both becoming much more powerful. Generative AI can produce Western blots that look real to the eye. Forensic AI can scan an entire journal’s back catalog for duplications in minutes — Elisabeth Bik did her early work by hand. The arms race is real. It is being run on top of an incentive structure — publish-or-perish, novelty-or-irrelevance, single-laboratory secrecy — that the field has not seriously revised since the 1970s.</w:t>
      </w:r>
    </w:p>
    <w:p>
      <w:pPr>
        <w:pStyle w:val="BodyText"/>
      </w:pPr>
      <w:r>
        <w:t xml:space="preserve">The parallel to Tuskegee is instructive but limited. Tuskegee produced direct, identifiable victims and a clear set of failures: no consent, no treatment, no public oversight. The Aβ*56 affair produces diffuse, statistical victims:</w:t>
      </w:r>
    </w:p>
    <w:p>
      <w:pPr>
        <w:pStyle w:val="Compact"/>
        <w:numPr>
          <w:ilvl w:val="0"/>
          <w:numId w:val="1016"/>
        </w:numPr>
      </w:pPr>
      <w:r>
        <w:t xml:space="preserve">Alzheimer’s patients who enrolled in trials that should have been redesigned.</w:t>
      </w:r>
    </w:p>
    <w:p>
      <w:pPr>
        <w:pStyle w:val="Compact"/>
        <w:numPr>
          <w:ilvl w:val="0"/>
          <w:numId w:val="1016"/>
        </w:numPr>
      </w:pPr>
      <w:r>
        <w:t xml:space="preserve">Families who paid out of pocket for drugs that should have been studied differently.</w:t>
      </w:r>
    </w:p>
    <w:p>
      <w:pPr>
        <w:pStyle w:val="Compact"/>
        <w:numPr>
          <w:ilvl w:val="0"/>
          <w:numId w:val="1016"/>
        </w:numPr>
      </w:pPr>
      <w:r>
        <w:t xml:space="preserve">A generation of postdocs whose careers were built on a hypothesis that was overinvested in.</w:t>
      </w:r>
    </w:p>
    <w:p>
      <w:pPr>
        <w:pStyle w:val="FirstParagraph"/>
      </w:pPr>
      <w:r>
        <w:t xml:space="preserve">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17"/>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17"/>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17"/>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17"/>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17"/>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18"/>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18"/>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18"/>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18"/>
        </w:numPr>
      </w:pPr>
      <w:r>
        <w:t xml:space="preserve">The PubPeer entries on Lesné’s papers (pubpeer.com) — the actual flagged images, with public commentary.</w:t>
      </w:r>
    </w:p>
    <w:p>
      <w:pPr>
        <w:pStyle w:val="Compact"/>
        <w:numPr>
          <w:ilvl w:val="0"/>
          <w:numId w:val="1018"/>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2026-06-01T01:56:23Z</dcterms:created>
  <dcterms:modified xsi:type="dcterms:W3CDTF">2026-06-01T01:56:23Z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“Blots on a field” — a bioethics case study</vt:lpwstr>
  </property>
  <property fmtid="{D5CDD505-2E9C-101B-9397-08002B2CF9AE}" pid="18" name="tbl-cap-location">
    <vt:lpwstr>top</vt:lpwstr>
  </property>
  <property fmtid="{D5CDD505-2E9C-101B-9397-08002B2CF9AE}" pid="19" name="toc-title">
    <vt:lpwstr>Table of contents</vt:lpwstr>
  </property>
</Properties>
</file>