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collision between patient</w:t>
      </w:r>
      <w:r>
        <w:t xml:space="preserve"> </w:t>
      </w:r>
      <w:r>
        <w:t xml:space="preserve">autonomy</w:t>
      </w:r>
      <w:r>
        <w:t xml:space="preserve"> </w:t>
      </w:r>
      <w:r>
        <w:t xml:space="preserve">(a competent person’s right to refuse treatment) and clinical</w:t>
      </w:r>
      <w:r>
        <w:t xml:space="preserve"> </w:t>
      </w:r>
      <w: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christened Donald, a name he would later change — was twenty-five, a former high-school football captain, a rodeo rider, and an Air Force pilot recently back from service. He was, by every account including his own, a young man who took his strong, fast, capable body for granted.</w:t>
      </w:r>
    </w:p>
    <w:p>
      <w:pPr>
        <w:pStyle w:val="BodyText"/>
      </w:pPr>
      <w:r>
        <w:t xml:space="preserve">They did not know that an underground propane pipeline near where they parked had been leaking, and that the gas had pooled, invisible and odorless to them,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Burns covered about 65% of his body; the deepest, third-degree burns destroyed the skin of his face, ears, and hands. He was blinded in both eyes. Most of his fingers were later amputated. He was conscious, and he stayed conscious.</w:t>
      </w:r>
    </w:p>
    <w:p>
      <w:pPr>
        <w:pStyle w:val="BodyText"/>
      </w:pPr>
      <w:r>
        <w:t xml:space="preserve">What followed was fourteen months of treatment that Cowart would describe, decades later and without exaggeration, as</w:t>
      </w:r>
      <w:r>
        <w:t xml:space="preserve"> </w:t>
      </w:r>
      <w:r>
        <w:t xml:space="preserve">“pure hell.”</w:t>
      </w:r>
      <w:r>
        <w:t xml:space="preserve"> </w:t>
      </w:r>
      <w:r>
        <w:t xml:space="preserve">The medical necessity was real.</w:t>
      </w:r>
    </w:p>
    <w:p>
      <w:pPr>
        <w:pStyle w:val="BodyText"/>
      </w:pPr>
      <w:r>
        <w:rPr>
          <w:b/>
          <w:bCs/>
        </w:rPr>
        <w:t xml:space="preserve">Why the treatment was unavoidable.</w:t>
      </w:r>
      <w:r>
        <w:t xml:space="preserve"> </w:t>
      </w:r>
      <w:r>
        <w:t xml:space="preserve">Burn depth is graded:</w:t>
      </w:r>
      <w:r>
        <w:t xml:space="preserve"> </w:t>
      </w:r>
      <w:r>
        <w:rPr>
          <w:i/>
          <w:iCs/>
        </w:rPr>
        <w:t xml:space="preserve">first-degree</w:t>
      </w:r>
      <w:r>
        <w:t xml:space="preserve"> </w:t>
      </w:r>
      <w:r>
        <w:t xml:space="preserve">burns affect only the outer skin (an ordinary sunburn);</w:t>
      </w:r>
      <w:r>
        <w:t xml:space="preserve"> </w:t>
      </w:r>
      <w:r>
        <w:rPr>
          <w:i/>
          <w:iCs/>
        </w:rPr>
        <w:t xml:space="preserve">second-degree</w:t>
      </w:r>
      <w:r>
        <w:t xml:space="preserve"> </w:t>
      </w:r>
      <w:r>
        <w:t xml:space="preserve">burns blister and are intensely painful;</w:t>
      </w:r>
      <w:r>
        <w:t xml:space="preserve"> </w:t>
      </w:r>
      <w:r>
        <w:rPr>
          <w:i/>
          <w:iCs/>
        </w:rPr>
        <w:t xml:space="preserve">third-degree</w:t>
      </w:r>
      <w:r>
        <w:t xml:space="preserve"> </w:t>
      </w:r>
      <w:r>
        <w:t xml:space="preserve">(full-thickness) burns destroy all skin layers. The amount burned is reported as percent of</w:t>
      </w:r>
      <w:r>
        <w:t xml:space="preserve"> </w:t>
      </w:r>
      <w:r>
        <w:t xml:space="preserve">total body surface area</w:t>
      </w:r>
      <w:r>
        <w:t xml:space="preserve"> </w:t>
      </w:r>
      <w:r>
        <w:t xml:space="preserve">(TBSA). At ~65% TBSA, much of it third-degree, Cowart was at the edge of what was survivable in 1973, and survival required</w:t>
      </w:r>
      <w:r>
        <w:t xml:space="preserve"> </w:t>
      </w:r>
      <w: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very early on — at Parkland, and at every stage afterward — he asked the people treating him to stop. Not in passing, and not only when the pain was worst. He asked his doctors, his nurses, and his mother, repeatedly and consistently, to discontinue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 which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and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 whose decision it had been —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but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 each move answering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2"/>
        </w:numPr>
      </w:pPr>
      <w:r>
        <w:t xml:space="preserve">A competent adult has a moral right to refuse any medical treatment.</w:t>
      </w:r>
    </w:p>
    <w:p>
      <w:pPr>
        <w:pStyle w:val="Compact"/>
        <w:numPr>
          <w:ilvl w:val="0"/>
          <w:numId w:val="1002"/>
        </w:numPr>
      </w:pPr>
      <w:r>
        <w:t xml:space="preserve">Dax Cowart was a competent adult who refused treatment.</w:t>
      </w:r>
    </w:p>
    <w:p>
      <w:pPr>
        <w:pStyle w:val="Compact"/>
        <w:numPr>
          <w:ilvl w:val="0"/>
          <w:numId w:val="1002"/>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BodyText"/>
      </w:pPr>
      <w:r>
        <w:rPr>
          <w:b/>
          <w:bCs/>
        </w:rPr>
        <w:t xml:space="preserve">Capacity, competence, and the surrogate.</w:t>
      </w:r>
      <w:r>
        <w:t xml:space="preserve"> </w:t>
      </w:r>
      <w:r>
        <w:t xml:space="preserve">Decision-making capacity</w:t>
      </w:r>
      <w:r>
        <w:t xml:space="preserve"> </w:t>
      </w:r>
      <w:r>
        <w:t xml:space="preserve">is a clinical judgment that a patient can (1) understand the relevant information, (2) appreciate how it applies to them, (3) reason about the options, and (4) communicate a choice. It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 not that Cowart could</w:t>
      </w:r>
      <w:r>
        <w:t xml:space="preserve"> </w:t>
      </w:r>
      <w:r>
        <w:rPr>
          <w:i/>
          <w:iCs/>
        </w:rPr>
        <w:t xml:space="preserve">talk</w:t>
      </w:r>
      <w:r>
        <w:t xml:space="preserve"> </w:t>
      </w:r>
      <w:r>
        <w:t xml:space="preserve">coherently, but that a person in catastrophic pain, in shock, facing a future he could not yet imagine, is making a</w:t>
      </w:r>
      <w:r>
        <w:t xml:space="preserve"> </w:t>
      </w:r>
      <w:r>
        <w:rPr>
          <w:i/>
          <w:iCs/>
        </w:rPr>
        <w:t xml:space="preserve">settled, autonomous</w:t>
      </w:r>
      <w:r>
        <w:t xml:space="preserve"> </w:t>
      </w:r>
      <w:r>
        <w:t xml:space="preserve">choice rather than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3"/>
        </w:numPr>
      </w:pPr>
      <w:r>
        <w:t xml:space="preserve">If a patient is in extreme pain and shock, their capacity to refuse treatment is undermined.</w:t>
      </w:r>
    </w:p>
    <w:p>
      <w:pPr>
        <w:pStyle w:val="Compact"/>
        <w:numPr>
          <w:ilvl w:val="0"/>
          <w:numId w:val="1003"/>
        </w:numPr>
      </w:pPr>
      <w:r>
        <w:t xml:space="preserve">Dax Cowart was in extreme pain and shock.</w:t>
      </w:r>
    </w:p>
    <w:p>
      <w:pPr>
        <w:pStyle w:val="Compact"/>
        <w:numPr>
          <w:ilvl w:val="0"/>
          <w:numId w:val="1003"/>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as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It also has empirical backing that did not exist when commentators first took Cowart’s side. A 1978 NIH consensus statement held that shock makes early decision-making nearly impossible for burn victims, and in a later study burn survivors interviewed years afterward said almost uniformly that informed consent was unrealistic at the moment of injury, that the capacity to consent</w:t>
      </w:r>
      <w:r>
        <w:t xml:space="preserve"> </w:t>
      </w:r>
      <w:r>
        <w:rPr>
          <w:i/>
          <w:iCs/>
        </w:rPr>
        <w:t xml:space="preserve">developed over time</w:t>
      </w:r>
      <w:r>
        <w:t xml:space="preserve">, and that 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BodyText"/>
      </w:pPr>
      <w:r>
        <w:rPr>
          <w:b/>
          <w:bCs/>
        </w:rPr>
        <w:t xml:space="preserve">Informed consent vs. informed refusal — and how new it was.</w:t>
      </w:r>
      <w:r>
        <w:t xml:space="preserve"> </w:t>
      </w:r>
      <w: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t xml:space="preserve">informed refusal</w:t>
      </w:r>
      <w:r>
        <w:t xml:space="preserve"> </w:t>
      </w:r>
      <w:r>
        <w:t xml:space="preserve">(a competent patient’s right to</w:t>
      </w:r>
      <w:r>
        <w:t xml:space="preserve"> </w:t>
      </w:r>
      <w:r>
        <w:rPr>
          <w:i/>
          <w:iCs/>
        </w:rPr>
        <w:t xml:space="preserve">decline</w:t>
      </w:r>
      <w:r>
        <w:t xml:space="preserve"> </w:t>
      </w:r>
      <w:r>
        <w:t xml:space="preserve">life-saving care), was almost unrecognized. Many physicians trained in an older</w:t>
      </w:r>
      <w:r>
        <w:t xml:space="preserve"> </w:t>
      </w:r>
      <w:r>
        <w:t xml:space="preserve">paternalistic</w:t>
      </w:r>
      <w:r>
        <w:t xml:space="preserve"> </w:t>
      </w:r>
      <w:r>
        <w:t xml:space="preserve">model treated refusal of life-saving treatment as itself evidence of impaired judgment — which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t xml:space="preserve">utilitarian</w:t>
      </w:r>
      <w:r>
        <w:t xml:space="preserve"> </w:t>
      </w:r>
      <w:r>
        <w:t xml:space="preserve">move (maximize good outcomes across the class of burn patients), and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4"/>
        </w:numPr>
      </w:pPr>
      <w:r>
        <w:t xml:space="preserve">The right to make a decision does not depend on the outcome of that decision.</w:t>
      </w:r>
    </w:p>
    <w:p>
      <w:pPr>
        <w:pStyle w:val="Compact"/>
        <w:numPr>
          <w:ilvl w:val="0"/>
          <w:numId w:val="1004"/>
        </w:numPr>
      </w:pPr>
      <w:r>
        <w:t xml:space="preserve">Pointing to a patient’s later gladness is an appeal to the outcome.</w:t>
      </w:r>
    </w:p>
    <w:p>
      <w:pPr>
        <w:pStyle w:val="Compact"/>
        <w:numPr>
          <w:ilvl w:val="0"/>
          <w:numId w:val="1004"/>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 And 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t xml:space="preserve">moral residue</w:t>
      </w:r>
      <w:r>
        <w:t xml:space="preserve">: even when overriding a duty is, on balance, defensible, the overridden duty does not vanish, and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5"/>
        </w:numPr>
      </w:pPr>
      <w:r>
        <w:t xml:space="preserve">Desperate demands to die are often cries for sustained relationship rather than pure refusals.</w:t>
      </w:r>
    </w:p>
    <w:p>
      <w:pPr>
        <w:pStyle w:val="Compact"/>
        <w:numPr>
          <w:ilvl w:val="0"/>
          <w:numId w:val="1005"/>
        </w:numPr>
      </w:pPr>
      <w:r>
        <w:t xml:space="preserve">If a demand is a cry for relationship, then immediately complying with it is a form of abandonment.</w:t>
      </w:r>
    </w:p>
    <w:p>
      <w:pPr>
        <w:pStyle w:val="Compact"/>
        <w:numPr>
          <w:ilvl w:val="0"/>
          <w:numId w:val="1005"/>
        </w:numPr>
      </w:pPr>
      <w:r>
        <w:t xml:space="preserve">Therefore, immediately honoring a patient’s refusal to live can be a form of abandonment.</w:t>
      </w:r>
    </w:p>
    <w:p>
      <w:pPr>
        <w:pStyle w:val="FirstParagraph"/>
      </w:pPr>
      <w:r>
        <w:t xml:space="preserve">This is recognizably an</w:t>
      </w:r>
      <w:r>
        <w:t xml:space="preserve"> </w:t>
      </w:r>
      <w: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 conceding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t>
      </w:r>
      <w:r>
        <w:t xml:space="preserve">— when, exactly, does resistance to a competent refusal have to yield? — and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t xml:space="preserve">specification</w:t>
      </w:r>
      <w:r>
        <w:t xml:space="preserve"> </w:t>
      </w:r>
      <w:r>
        <w:t xml:space="preserve">and</w:t>
      </w:r>
      <w:r>
        <w:t xml:space="preserve"> </w:t>
      </w:r>
      <w: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because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w:t>
      </w:r>
      <w:r>
        <w:t xml:space="preserve"> </w:t>
      </w: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 and</w:t>
      </w:r>
      <w:r>
        <w:t xml:space="preserve"> </w:t>
      </w: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 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Rubin’s friends, like Dax, pleaded that she would not want to live this way; her father, like Dax’s mother, consented; she was sedated for weeks and could not decide. 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BodyText"/>
      </w:pPr>
      <w:r>
        <w:t xml:space="preserve">Rubin’s case does not refute Cowart —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pStyle w:val="Compact"/>
        <w:numPr>
          <w:ilvl w:val="0"/>
          <w:numId w:val="1006"/>
        </w:numPr>
      </w:pPr>
      <w:r>
        <w:t xml:space="preserve">Reconstruct</w:t>
      </w:r>
      <w:r>
        <w:t xml:space="preserve"> </w:t>
      </w:r>
      <w:r>
        <w:rPr>
          <w:b/>
          <w:bCs/>
        </w:rPr>
        <w:t xml:space="preserve">The Autonomy Argument</w:t>
      </w:r>
      <w:r>
        <w:t xml:space="preserve"> </w:t>
      </w:r>
      <w:r>
        <w:t xml:space="preserve">and</w:t>
      </w:r>
      <w:r>
        <w:t xml:space="preserve"> </w:t>
      </w:r>
      <w:r>
        <w:rPr>
          <w:b/>
          <w:bCs/>
        </w:rPr>
        <w:t xml:space="preserve">The Beneficence / Temporary-Incapacity Reply</w:t>
      </w:r>
      <w:r>
        <w:t xml:space="preserve"> </w:t>
      </w:r>
      <w:r>
        <w:t xml:space="preserve">in your own words. They share no disputed premise except one — identify it, and say what kind of evidence (clinical, philosophical, statistical) could actually settle it.</w:t>
      </w:r>
    </w:p>
    <w:p>
      <w:pPr>
        <w:pStyle w:val="Compact"/>
        <w:numPr>
          <w:ilvl w:val="0"/>
          <w:numId w:val="1006"/>
        </w:numPr>
      </w:pPr>
      <w:r>
        <w:t xml:space="preserve">Cowart said he was glad to be alive</w:t>
      </w:r>
      <w:r>
        <w:t xml:space="preserve"> </w:t>
      </w:r>
      <w:r>
        <w:rPr>
          <w:i/>
          <w:iCs/>
        </w:rPr>
        <w:t xml:space="preserve">and</w:t>
      </w:r>
      <w:r>
        <w:t xml:space="preserve"> </w:t>
      </w:r>
      <w:r>
        <w:t xml:space="preserve">that his rights had been violated. Using the idea of</w:t>
      </w:r>
      <w:r>
        <w:t xml:space="preserve"> </w:t>
      </w:r>
      <w:r>
        <w:rPr>
          <w:b/>
          <w:bCs/>
        </w:rPr>
        <w:t xml:space="preserve">moral residue</w:t>
      </w:r>
      <w:r>
        <w:t xml:space="preserve">, explain why this is not a contradiction — and say what it implies for how we should judge paternalistic decisions that</w:t>
      </w:r>
      <w:r>
        <w:t xml:space="preserve"> </w:t>
      </w:r>
      <w:r>
        <w:t xml:space="preserve">“turned out fine.”</w:t>
      </w:r>
    </w:p>
    <w:p>
      <w:pPr>
        <w:pStyle w:val="Compact"/>
        <w:numPr>
          <w:ilvl w:val="0"/>
          <w:numId w:val="1006"/>
        </w:numPr>
      </w:pPr>
      <w:r>
        <w:t xml:space="preserve">The Beneficence Reply uses a statistical generalization (</w:t>
      </w:r>
      <w:r>
        <w:t xml:space="preserve">“most such patients are later glad”</w:t>
      </w:r>
      <w:r>
        <w:t xml:space="preserve">) to override one individual. When, if ever, is it legitimate to apply a true generalization about a group to the particular person in front of you? What principle are you relying on?</w:t>
      </w:r>
    </w:p>
    <w:p>
      <w:pPr>
        <w:pStyle w:val="Compact"/>
        <w:numPr>
          <w:ilvl w:val="0"/>
          <w:numId w:val="1006"/>
        </w:numPr>
      </w:pPr>
      <w:r>
        <w:t xml:space="preserve">You are the nurse assigned to Cowart’s daily tank treatment. He has just told you, again, that he wants it to stop and wants to die. Drawing on the</w:t>
      </w:r>
      <w:r>
        <w:t xml:space="preserve"> </w:t>
      </w:r>
      <w:r>
        <w:rPr>
          <w:b/>
          <w:bCs/>
        </w:rPr>
        <w:t xml:space="preserve">virtues of a good nurse</w:t>
      </w:r>
      <w:r>
        <w:t xml:space="preserve"> </w:t>
      </w:r>
      <w:r>
        <w:t xml:space="preserve">and</w:t>
      </w:r>
      <w:r>
        <w:t xml:space="preserve"> </w:t>
      </w:r>
      <w:r>
        <w:rPr>
          <w:b/>
          <w:bCs/>
        </w:rPr>
        <w:t xml:space="preserve">Burt’s relational counter</w:t>
      </w:r>
      <w:r>
        <w:t xml:space="preserve">, what do you owe him in that moment that the institution does not — and what, concretely, do you do?</w:t>
      </w:r>
    </w:p>
    <w:p>
      <w:pPr>
        <w:pStyle w:val="Compact"/>
        <w:numPr>
          <w:ilvl w:val="0"/>
          <w:numId w:val="1006"/>
        </w:numPr>
      </w:pPr>
      <w:r>
        <w:t xml:space="preserve">Apply the Arnold–Menzel procedure to Andrea Rubin’s case. Does the procedure yield the outcome Rubin endorses? If it does not, is that a flaw in the procedure, a difference between the two patients, or evidence that the argument Dax started is still unresolved?</w:t>
      </w:r>
    </w:p>
    <w:bookmarkEnd w:id="21"/>
    <w:bookmarkStart w:id="22" w:name="further-reading"/>
    <w:p>
      <w:pPr>
        <w:pStyle w:val="Heading2"/>
      </w:pPr>
      <w:r>
        <w:t xml:space="preserve">Further Reading</w:t>
      </w:r>
    </w:p>
    <w:p>
      <w:pPr>
        <w:pStyle w:val="Compact"/>
        <w:numPr>
          <w:ilvl w:val="0"/>
          <w:numId w:val="1007"/>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07"/>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07"/>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07"/>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2026-05-19T20:18:30Z</dcterms:created>
  <dcterms:modified xsi:type="dcterms:W3CDTF">2026-05-19T20:18:30Z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2026-05-19</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“Please Let Me Die” — a bioethics case study</vt:lpwstr>
  </property>
  <property fmtid="{D5CDD505-2E9C-101B-9397-08002B2CF9AE}" pid="17" name="toc-title">
    <vt:lpwstr>Table of contents</vt:lpwstr>
  </property>
</Properties>
</file>