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Henrietta Lacks and HeLa Cells: Biospecimens, Informed Consent, and Genomic Privacy</w:t>
      </w:r>
    </w:p>
    <w:p>
      <w:pPr>
        <w:pStyle w:val="Subtitle"/>
      </w:pPr>
      <w:r>
        <w:t xml:space="preserve">“The Cells That Never Died” — a bioethics case study</w:t>
      </w:r>
    </w:p>
    <w:p>
      <w:pPr>
        <w:pStyle w:val="Author"/>
      </w:pPr>
      <w:r>
        <w:t xml:space="preserve">Brendan Shea, PhD</w:t>
      </w:r>
    </w:p>
    <w:p>
      <w:pPr>
        <w:pStyle w:val="Date"/>
      </w:pPr>
      <w:r>
        <w:t xml:space="preserve">2026-05-19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ompact"/>
        <w:numPr>
          <w:ilvl w:val="0"/>
          <w:numId w:val="1001"/>
        </w:numPr>
      </w:pPr>
      <w:r>
        <w:rPr>
          <w:b/>
          <w:bCs/>
        </w:rPr>
        <w:t xml:space="preserve">Who:</w:t>
      </w:r>
      <w:r>
        <w:t xml:space="preserve"> </w:t>
      </w:r>
      <w:r>
        <w:t xml:space="preserve">Henrietta Lacks (1920–1951), a Black tobacco farmer, mother of five, and patient at Johns Hopkins Hospital.</w:t>
      </w:r>
    </w:p>
    <w:p>
      <w:pPr>
        <w:pStyle w:val="Compact"/>
        <w:numPr>
          <w:ilvl w:val="0"/>
          <w:numId w:val="1001"/>
        </w:numPr>
      </w:pPr>
      <w:r>
        <w:rPr>
          <w:b/>
          <w:bCs/>
        </w:rPr>
        <w:t xml:space="preserve">What:</w:t>
      </w:r>
      <w:r>
        <w:t xml:space="preserve"> </w:t>
      </w:r>
      <w:r>
        <w:t xml:space="preserve">Leftover tissue from her cervical biopsy was cultured without her consent, establishing the world’s first</w:t>
      </w:r>
      <w:r>
        <w:t xml:space="preserve"> </w:t>
      </w:r>
      <w:r>
        <w:t xml:space="preserve">immortal cell line</w:t>
      </w:r>
      <w:r>
        <w:t xml:space="preserve"> </w:t>
      </w:r>
      <w:r>
        <w:t xml:space="preserve">(HeLa), which became the foundation of modern biomedical research while her family remained in poverty.</w:t>
      </w:r>
    </w:p>
    <w:p>
      <w:pPr>
        <w:pStyle w:val="Compact"/>
        <w:numPr>
          <w:ilvl w:val="0"/>
          <w:numId w:val="1001"/>
        </w:numPr>
      </w:pPr>
      <w:r>
        <w:rPr>
          <w:b/>
          <w:bCs/>
        </w:rPr>
        <w:t xml:space="preserve">Where / When:</w:t>
      </w:r>
      <w:r>
        <w:t xml:space="preserve"> </w:t>
      </w:r>
      <w:r>
        <w:t xml:space="preserve">Johns Hopkins Hospital, Baltimore, Maryland, 1951 to the present.</w:t>
      </w:r>
    </w:p>
    <w:p>
      <w:pPr>
        <w:pStyle w:val="Compact"/>
        <w:numPr>
          <w:ilvl w:val="0"/>
          <w:numId w:val="1001"/>
        </w:numPr>
      </w:pPr>
      <w:r>
        <w:rPr>
          <w:b/>
          <w:bCs/>
        </w:rPr>
        <w:t xml:space="preserve">Why it matters:</w:t>
      </w:r>
      <w:r>
        <w:t xml:space="preserve"> </w:t>
      </w:r>
      <w:r>
        <w:t xml:space="preserve">The case highlights the ethical conflict between patient</w:t>
      </w:r>
      <w:r>
        <w:t xml:space="preserve"> </w:t>
      </w:r>
      <w:r>
        <w:t xml:space="preserve">bodily autonomy</w:t>
      </w:r>
      <w:r>
        <w:t xml:space="preserve">, the requirement of</w:t>
      </w:r>
      <w:r>
        <w:t xml:space="preserve"> </w:t>
      </w:r>
      <w:r>
        <w:t xml:space="preserve">informed consent</w:t>
      </w:r>
      <w:r>
        <w:t xml:space="preserve">, and the commercial exploitation of</w:t>
      </w:r>
      <w:r>
        <w:t xml:space="preserve"> </w:t>
      </w:r>
      <w:r>
        <w:t xml:space="preserve">biospecimens</w:t>
      </w:r>
      <w:r>
        <w:t xml:space="preserve">. It exposes how rapid scientific advancement can run parallel to structural and racial inequities in clinical research.</w:t>
      </w:r>
    </w:p>
    <w:p>
      <w:pPr>
        <w:pStyle w:val="Compact"/>
        <w:numPr>
          <w:ilvl w:val="0"/>
          <w:numId w:val="1001"/>
        </w:numPr>
      </w:pPr>
      <w:r>
        <w:rPr>
          <w:b/>
          <w:bCs/>
        </w:rPr>
        <w:t xml:space="preserve">Pair with:</w:t>
      </w:r>
      <w:r>
        <w:t xml:space="preserve"> </w:t>
      </w:r>
      <w:r>
        <w:t xml:space="preserve">Research Ethics (Protecting Research Subjects)</w:t>
      </w:r>
    </w:p>
    <w:bookmarkStart w:id="9" w:name="the-case"/>
    <w:p>
      <w:pPr>
        <w:pStyle w:val="Heading2"/>
      </w:pPr>
      <w:r>
        <w:t xml:space="preserve">The Case</w:t>
      </w:r>
    </w:p>
    <w:p>
      <w:pPr>
        <w:pStyle w:val="FirstParagraph"/>
      </w:pPr>
      <w:r>
        <w:t xml:space="preserve">In January 1951, a thirty-year-old Black woman named Henrietta Lacks walked into the outpatient clinic of Johns Hopkins Hospital in Baltimore. She was bleeding heavily and felt a</w:t>
      </w:r>
      <w:r>
        <w:t xml:space="preserve"> </w:t>
      </w:r>
      <w:r>
        <w:t xml:space="preserve">“knot”</w:t>
      </w:r>
      <w:r>
        <w:t xml:space="preserve"> </w:t>
      </w:r>
      <w:r>
        <w:t xml:space="preserve">in her womb. Henrietta was a tobacco farmer’s daughter from southern Virginia who had moved to Maryland with her husband and five children to find work in the steel mills. Johns Hopkins was the only major hospital in the region that admitted Black patients, and even there, they were treated in segregated wards, separated from white patients by physical barriers and distinct medical teams.</w:t>
      </w:r>
    </w:p>
    <w:p>
      <w:pPr>
        <w:pStyle w:val="BodyText"/>
      </w:pPr>
      <w:r>
        <w:t xml:space="preserve">Henrietta was examined by Dr. Howard Jones, a gynecologist who observed a deep, purple, glistening mass on her cervix—unlike any tumor he had seen before. He took a small tissue snippet and sent it to the pathology lab. The diagnosis was swift and devastating: an aggressive, malignant</w:t>
      </w:r>
      <w:r>
        <w:t xml:space="preserve"> </w:t>
      </w:r>
      <w:r>
        <w:t xml:space="preserve">cervical adenocarcinoma</w:t>
      </w:r>
      <w:r>
        <w:t xml:space="preserve">.</w:t>
      </w:r>
    </w:p>
    <w:p>
      <w:pPr>
        <w:pStyle w:val="BodyText"/>
      </w:pPr>
      <w:r>
        <w:rPr>
          <w:b/>
          <w:bCs/>
        </w:rPr>
        <w:t xml:space="preserve">Cervical Adenocarcinoma and Biopsy.</w:t>
      </w:r>
      <w:r>
        <w:t xml:space="preserve"> </w:t>
      </w:r>
      <w:r>
        <w:t xml:space="preserve">Cervical adenocarcinoma is a cancer that begins in the glandular cells of the cervix. A</w:t>
      </w:r>
      <w:r>
        <w:t xml:space="preserve"> </w:t>
      </w:r>
      <w:r>
        <w:rPr>
          <w:b/>
          <w:bCs/>
        </w:rPr>
        <w:t xml:space="preserve">biopsy</w:t>
      </w:r>
      <w:r>
        <w:t xml:space="preserve"> </w:t>
      </w:r>
      <w:r>
        <w:t xml:space="preserve">is a standard diagnostic procedure where a small piece of tissue is surgically removed from a patient’s body so that pathologists can examine it under a microscope to identify malignant cells.</w:t>
      </w:r>
    </w:p>
    <w:p>
      <w:pPr>
        <w:pStyle w:val="BodyText"/>
      </w:pPr>
      <w:r>
        <w:t xml:space="preserve">A few weeks later, Henrietta returned to the hospital to begin treatment. In 1951, the standard of care for cervical cancer was</w:t>
      </w:r>
      <w:r>
        <w:t xml:space="preserve"> </w:t>
      </w:r>
      <w:r>
        <w:t xml:space="preserve">radium therapy</w:t>
      </w:r>
      <w:r>
        <w:t xml:space="preserve">: tubes of highly radioactive radium were placed in cloth pouches and sewn directly onto the patient’s cervix for several days to burn away the tumor. While Henrietta lay anesthetized on the operating table, the surgeon in charge, Dr. Lawrence Wharton Jr., performed the radium insertion. Before doing so, however, Wharton took two small circular tissue samples from Henrietta’s cervix—one from her active tumor, and one from healthy tissue nearby.</w:t>
      </w:r>
    </w:p>
    <w:p>
      <w:pPr>
        <w:pStyle w:val="BodyText"/>
      </w:pPr>
      <w:r>
        <w:t xml:space="preserve">This action represented a crucial boundary crossing in clinical ethics. Dr. Wharton was acting as Henrietta’s primary clinician, responsible for delivering</w:t>
      </w:r>
      <w:r>
        <w:t xml:space="preserve"> </w:t>
      </w:r>
      <w:r>
        <w:t xml:space="preserve">clinical care</w:t>
      </w:r>
      <w:r>
        <w:t xml:space="preserve"> </w:t>
      </w:r>
      <w:r>
        <w:t xml:space="preserve">aimed directly at helping the patient. Yet, he took the tissue samples solely for</w:t>
      </w:r>
      <w:r>
        <w:t xml:space="preserve"> </w:t>
      </w:r>
      <w:r>
        <w:t xml:space="preserve">clinical research</w:t>
      </w:r>
      <w:r>
        <w:t xml:space="preserve"> </w:t>
      </w:r>
      <w:r>
        <w:t xml:space="preserve">at the request of Dr. George Gey, the head of tissue culture research at Johns Hopkins, whose goal was to produce generalizable knowledge</w:t>
      </w:r>
      <w:r>
        <w:t xml:space="preserve"> </w:t>
      </w:r>
      <w:r>
        <w:t xml:space="preserve">(</w:t>
      </w:r>
      <w:hyperlink w:anchor="ref-emanuel2000research">
        <w:r>
          <w:rPr>
            <w:rStyle w:val="Hyperlink"/>
          </w:rPr>
          <w:t xml:space="preserve">Emanuel et al. 2000</w:t>
        </w:r>
      </w:hyperlink>
      <w:r>
        <w:t xml:space="preserve">)</w:t>
      </w:r>
      <w:r>
        <w:t xml:space="preserve">. Wharton did not explain this distinction to Henrietta, nor did he ask for her permission.</w:t>
      </w:r>
    </w:p>
    <w:p>
      <w:pPr>
        <w:pStyle w:val="BodyText"/>
      </w:pPr>
      <w:r>
        <w:rPr>
          <w:b/>
          <w:bCs/>
        </w:rPr>
        <w:t xml:space="preserve">Radium Therapy and Radium Insertions.</w:t>
      </w:r>
      <w:r>
        <w:t xml:space="preserve"> </w:t>
      </w:r>
      <w:r>
        <w:t xml:space="preserve">In the early-to-mid twentieth century,</w:t>
      </w:r>
      <w:r>
        <w:t xml:space="preserve"> </w:t>
      </w:r>
      <w:r>
        <w:rPr>
          <w:b/>
          <w:bCs/>
        </w:rPr>
        <w:t xml:space="preserve">radium therapy</w:t>
      </w:r>
      <w:r>
        <w:t xml:space="preserve"> </w:t>
      </w:r>
      <w:r>
        <w:t xml:space="preserve">was a common form of cancer treatment. Physicians placed radioactive radium directly inside or next to a tumor (a procedure known as brachytherapy) to deliver high doses of localized radiation to destroy cancerous cells, frequently causing severe physical burns and systemic side effects.</w:t>
      </w:r>
    </w:p>
    <w:p>
      <w:pPr>
        <w:pStyle w:val="BodyText"/>
      </w:pPr>
      <w:r>
        <w:t xml:space="preserve">George Gey had spent nearly three decades attempting to grow human cells in his laboratory. At the time, every scientist who tried to culture human cells encountered the same barrier: the cells would divide a few times and then die. Gey wanted to find an</w:t>
      </w:r>
      <w:r>
        <w:t xml:space="preserve"> </w:t>
      </w:r>
      <w:r>
        <w:t xml:space="preserve">“immortal”</w:t>
      </w:r>
      <w:r>
        <w:t xml:space="preserve"> </w:t>
      </w:r>
      <w:r>
        <w:t xml:space="preserve">human cell line—a line of cells that would grow and replicate indefinitely in a test tube, allowing researchers to study human biology without relying on living subjects.</w:t>
      </w:r>
    </w:p>
    <w:p>
      <w:pPr>
        <w:pStyle w:val="BodyText"/>
      </w:pPr>
      <w:r>
        <w:t xml:space="preserve">Wharton dropped Henrietta’s tissue samples into a sterile tube and sent them to Gey’s lab. Gey’s assistant, Mary Kubicek, sliced the tumor tissue into tiny squares, placed them in a growth medium of chicken plasma, bovine embryo extract, and special umbilical cord blood, and sealed them in rotating tubes.</w:t>
      </w:r>
    </w:p>
    <w:p>
      <w:pPr>
        <w:pStyle w:val="BodyText"/>
      </w:pPr>
      <w:r>
        <w:t xml:space="preserve">Unlike every other human sample Gey had cultured, Henrietta’s cells did not die. They grew with astonishing speed, doubling their population every twenty-four hours. They grew so aggressively that they consumed the nutrients in their tubes and began taking over adjacent cultures. Gey named the new cell line</w:t>
      </w:r>
      <w:r>
        <w:t xml:space="preserve"> </w:t>
      </w:r>
      <w:r>
        <w:rPr>
          <w:b/>
          <w:bCs/>
        </w:rPr>
        <w:t xml:space="preserve">HeLa</w:t>
      </w:r>
      <w:r>
        <w:t xml:space="preserve">, using the first two letters of Henrietta’s first and last names.</w:t>
      </w:r>
    </w:p>
    <w:p>
      <w:pPr>
        <w:pStyle w:val="BodyText"/>
      </w:pPr>
      <w:r>
        <w:rPr>
          <w:b/>
          <w:bCs/>
        </w:rPr>
        <w:t xml:space="preserve">Immortal Cell Line.</w:t>
      </w:r>
      <w:r>
        <w:t xml:space="preserve"> </w:t>
      </w:r>
      <w:r>
        <w:t xml:space="preserve">An</w:t>
      </w:r>
      <w:r>
        <w:t xml:space="preserve"> </w:t>
      </w:r>
      <w:r>
        <w:rPr>
          <w:b/>
          <w:bCs/>
        </w:rPr>
        <w:t xml:space="preserve">immortal cell line</w:t>
      </w:r>
      <w:r>
        <w:t xml:space="preserve"> </w:t>
      </w:r>
      <w:r>
        <w:t xml:space="preserve">is a population of cells from a multicellular organism that, due to genetic mutations (such as those found in cancer), can escape normal cellular aging and continue dividing indefinitely under laboratory conditions, provided they are supplied with nutrients.</w:t>
      </w:r>
    </w:p>
    <w:p>
      <w:pPr>
        <w:pStyle w:val="BodyText"/>
      </w:pPr>
      <w:r>
        <w:t xml:space="preserve">While Henrietta’s cultured cells flourished in the laboratory, Henrietta herself deteriorated. The radium therapy failed to stop the cancer. The aggressive adenocarcinoma metastasized throughout her abdominal cavity. She was admitted to the segregated wards of Johns Hopkins, where she suffered agonizing pain until her death on October 4, 1951, at the age of thirty-one. She was buried in an unmarked grave in rural Virginia.</w:t>
      </w:r>
    </w:p>
    <w:p>
      <w:pPr>
        <w:pStyle w:val="BodyText"/>
      </w:pPr>
      <w:r>
        <w:t xml:space="preserve">The social and political environment of 1951 placed Henrietta in a position of acute</w:t>
      </w:r>
      <w:r>
        <w:t xml:space="preserve"> </w:t>
      </w:r>
      <w:r>
        <w:t xml:space="preserve">vulnerability</w:t>
      </w:r>
      <w:r>
        <w:t xml:space="preserve">. Applying Kipnis’s taxonomy of research vulnerability, she suffered from profound</w:t>
      </w:r>
      <w:r>
        <w:t xml:space="preserve"> </w:t>
      </w:r>
      <w:r>
        <w:rPr>
          <w:b/>
          <w:bCs/>
        </w:rPr>
        <w:t xml:space="preserve">deferential vulnerability</w:t>
      </w:r>
      <w:r>
        <w:t xml:space="preserve">: the rigid segregation of the Jim Crow era and the deep power asymmetries between elite, white male physicians and poor Black patients created a climate where questioning medical authority was socially and practically impossible.</w:t>
      </w:r>
    </w:p>
    <w:p>
      <w:pPr>
        <w:pStyle w:val="BodyText"/>
      </w:pPr>
      <w:r>
        <w:t xml:space="preserve">George Gey did not keep the HeLa cells to himself. Recognizing their immense value to science, he began shipping vials of HeLa to researchers worldwide. HeLa cells became an indispensable tool of modern medicine. They were used to culture the polio virus, enabling Jonas Salk to develop the polio vaccine. They were launched into space to study the effects of zero gravity on human cells. They became the first cells to be cloned, the first to be mapped, and were used to develop chemotherapy, gene mapping, and in vitro fertilization techniques.</w:t>
      </w:r>
    </w:p>
    <w:p>
      <w:pPr>
        <w:pStyle w:val="BodyText"/>
      </w:pPr>
      <w:r>
        <w:rPr>
          <w:b/>
          <w:bCs/>
        </w:rPr>
        <w:t xml:space="preserve">Biospecimen.</w:t>
      </w:r>
      <w:r>
        <w:t xml:space="preserve"> </w:t>
      </w:r>
      <w:r>
        <w:t xml:space="preserve">A</w:t>
      </w:r>
      <w:r>
        <w:t xml:space="preserve"> </w:t>
      </w:r>
      <w:r>
        <w:rPr>
          <w:b/>
          <w:bCs/>
        </w:rPr>
        <w:t xml:space="preserve">biospecimen</w:t>
      </w:r>
      <w:r>
        <w:t xml:space="preserve"> </w:t>
      </w:r>
      <w:r>
        <w:t xml:space="preserve">is a biological sample of material (such as tissue, blood, urine, or cells) taken from a human body. Biospecimens are stored in biobanks and utilized by researchers to study diseases, develop drugs, and understand genetic pathways.</w:t>
      </w:r>
    </w:p>
    <w:p>
      <w:pPr>
        <w:pStyle w:val="BodyText"/>
      </w:pPr>
      <w:r>
        <w:t xml:space="preserve">For twenty-five years, Henrietta’s family had no idea her cells were still alive. In the early 1970s, researchers realized that HeLa cells were so hardy they had contaminated other cell cultures across the globe. To map the HeLa genome and isolate the contamination, scientists tracked down Henrietta’s children—who had grown up in poverty in East Baltimore—to ask for blood samples.</w:t>
      </w:r>
    </w:p>
    <w:p>
      <w:pPr>
        <w:pStyle w:val="BodyText"/>
      </w:pPr>
      <w:r>
        <w:t xml:space="preserve">When the researchers approached the family, they failed to explain the distinction between research and care. Consequently, Henrietta’s children experienced a classic</w:t>
      </w:r>
      <w:r>
        <w:t xml:space="preserve"> </w:t>
      </w:r>
      <w:r>
        <w:t xml:space="preserve">therapeutic misconception</w:t>
      </w:r>
      <w:r>
        <w:t xml:space="preserve">: because they lacked formal education (</w:t>
      </w:r>
      <w:r>
        <w:rPr>
          <w:b/>
          <w:bCs/>
        </w:rPr>
        <w:t xml:space="preserve">cognitive vulnerability</w:t>
      </w:r>
      <w:r>
        <w:t xml:space="preserve">) and had no health insurance (</w:t>
      </w:r>
      <w:r>
        <w:rPr>
          <w:b/>
          <w:bCs/>
        </w:rPr>
        <w:t xml:space="preserve">allocational vulnerability</w:t>
      </w:r>
      <w:r>
        <w:t xml:space="preserve">), they believed the doctors were performing clinical tests to protect them from the hereditary cancer that had killed their mother, rather than gathering basic scientific data to sort out laboratory contamination.</w:t>
      </w:r>
    </w:p>
    <w:p>
      <w:pPr>
        <w:pStyle w:val="BodyText"/>
      </w:pPr>
      <w:r>
        <w:t xml:space="preserve">Only when a family friend happened to mention HeLa cells did the Lacks family realize that Henrietta’s cells had been sold by the millions for research, yielding massive profits for biotech companies. Meanwhile, Henrietta’s five children struggled to pay for basic healthcare, and one son was homeless on the streets of Baltimore.</w:t>
      </w:r>
    </w:p>
    <w:p>
      <w:pPr>
        <w:pStyle w:val="BodyText"/>
      </w:pPr>
      <w:r>
        <w:t xml:space="preserve">The Lacks family received no share of the billions of dollars in revenue generated by the commercialization of HeLa cells, nor were they ever compensated for the decades of unauthorized research performed on Henrietta’s biological material</w:t>
      </w:r>
      <w:r>
        <w:t xml:space="preserve"> </w:t>
      </w:r>
      <w:r>
        <w:t xml:space="preserve">(</w:t>
      </w:r>
      <w:hyperlink w:anchor="ref-skloot2010">
        <w:r>
          <w:rPr>
            <w:rStyle w:val="Hyperlink"/>
          </w:rPr>
          <w:t xml:space="preserve">Skloot 2010</w:t>
        </w:r>
      </w:hyperlink>
      <w:r>
        <w:t xml:space="preserve">)</w:t>
      </w:r>
      <w:r>
        <w:t xml:space="preserve">. The case remains a foundational failure of basic consent, exposing how rapid scientific advancement can run parallel to structural and racial inequities in clinical research.</w:t>
      </w:r>
    </w:p>
    <w:bookmarkEnd w:id="9"/>
    <w:bookmarkStart w:id="19" w:name="the-argument-henrietta-lacks-started"/>
    <w:p>
      <w:pPr>
        <w:pStyle w:val="Heading2"/>
      </w:pPr>
      <w:r>
        <w:t xml:space="preserve">The Argument Henrietta Lacks Started</w:t>
      </w:r>
    </w:p>
    <w:p>
      <w:pPr>
        <w:pStyle w:val="FirstParagraph"/>
      </w:pPr>
      <w:r>
        <w:t xml:space="preserve">Few cases have generated as much widespread agreement</w:t>
      </w:r>
      <w:r>
        <w:t xml:space="preserve"> </w:t>
      </w:r>
      <w:r>
        <w:rPr>
          <w:i/>
          <w:iCs/>
        </w:rPr>
        <w:t xml:space="preserve">that</w:t>
      </w:r>
      <w:r>
        <w:t xml:space="preserve"> </w:t>
      </w:r>
      <w:r>
        <w:t xml:space="preserve">a historical injustice took place, combined with as much deep disagreement about</w:t>
      </w:r>
      <w:r>
        <w:t xml:space="preserve"> </w:t>
      </w:r>
      <w:r>
        <w:rPr>
          <w:i/>
          <w:iCs/>
        </w:rPr>
        <w:t xml:space="preserve">what the ethical wrong actually was</w:t>
      </w:r>
      <w:r>
        <w:t xml:space="preserve">. The moves below trace that debate by engaging directly with real arguments from bioethics and legal literature.</w:t>
      </w:r>
    </w:p>
    <w:bookmarkStart w:id="10" w:name="X5a396328f84551f1f00d0c7078df90adc2838e8"/>
    <w:p>
      <w:pPr>
        <w:pStyle w:val="Heading3"/>
      </w:pPr>
      <w:r>
        <w:t xml:space="preserve">Move 1: The Self-Ownership and Bodily Property Claim</w:t>
      </w:r>
    </w:p>
    <w:p>
      <w:pPr>
        <w:pStyle w:val="FirstParagraph"/>
      </w:pPr>
      <w:r>
        <w:t xml:space="preserve">The most intuitive response to the HeLa case is one of individual property rights and self-ownership. In her book</w:t>
      </w:r>
      <w:r>
        <w:t xml:space="preserve"> </w:t>
      </w:r>
      <w:r>
        <w:rPr>
          <w:i/>
          <w:iCs/>
        </w:rPr>
        <w:t xml:space="preserve">Property in the Body: Feminist Perspectives</w:t>
      </w:r>
      <w:r>
        <w:t xml:space="preserve">, bioethicist</w:t>
      </w:r>
      <w:r>
        <w:t xml:space="preserve"> </w:t>
      </w:r>
      <w:r>
        <w:rPr>
          <w:b/>
          <w:bCs/>
        </w:rPr>
        <w:t xml:space="preserve">Donna Dickenson</w:t>
      </w:r>
      <w:r>
        <w:t xml:space="preserve"> </w:t>
      </w:r>
      <w:r>
        <w:t xml:space="preserve">(</w:t>
      </w:r>
      <w:hyperlink w:anchor="ref-dickenson2007">
        <w:r>
          <w:rPr>
            <w:rStyle w:val="Hyperlink"/>
          </w:rPr>
          <w:t xml:space="preserve">Dickenson 2007</w:t>
        </w:r>
      </w:hyperlink>
      <w:r>
        <w:t xml:space="preserve">)</w:t>
      </w:r>
      <w:r>
        <w:t xml:space="preserve"> </w:t>
      </w:r>
      <w:r>
        <w:t xml:space="preserve">argues that human biological material should not be treated as</w:t>
      </w:r>
      <w:r>
        <w:t xml:space="preserve"> </w:t>
      </w:r>
      <w:r>
        <w:rPr>
          <w:i/>
          <w:iCs/>
        </w:rPr>
        <w:t xml:space="preserve">res nullius</w:t>
      </w:r>
      <w:r>
        <w:t xml:space="preserve"> </w:t>
      </w:r>
      <w:r>
        <w:t xml:space="preserve">(nobody’s property) until a researcher</w:t>
      </w:r>
      <w:r>
        <w:t xml:space="preserve"> </w:t>
      </w:r>
      <w:r>
        <w:t xml:space="preserve">“improves”</w:t>
      </w:r>
      <w:r>
        <w:t xml:space="preserve"> </w:t>
      </w:r>
      <w:r>
        <w:t xml:space="preserve">it. Dickenson contends that treating human tissue as unowned waste until commercialized by biotechnology represents a form of asymmetric exploitation. Under this view, if biotechnology companies can hold property rights (such as patents) on cell lines, denying patients a corresponding property right in their own biological tissue creates an unjust legal double standard that disproportionately exploits female and minority bodies.</w:t>
      </w:r>
    </w:p>
    <w:p>
      <w:pPr>
        <w:pStyle w:val="BodyText"/>
      </w:pPr>
      <w:r>
        <w:rPr>
          <w:b/>
          <w:bCs/>
        </w:rPr>
        <w:t xml:space="preserve">Informed Consent.</w:t>
      </w:r>
      <w:r>
        <w:t xml:space="preserve"> </w:t>
      </w:r>
      <w:r>
        <w:rPr>
          <w:b/>
          <w:bCs/>
        </w:rPr>
        <w:t xml:space="preserve">Informed consent</w:t>
      </w:r>
      <w:r>
        <w:t xml:space="preserve"> </w:t>
      </w:r>
      <w:r>
        <w:t xml:space="preserve">is the voluntary agreement of a competent individual to participate in a clinical trial or undergo a medical procedure, granted after the individual has been fully informed of the risks, benefits, alternatives, and scientific purpose of the intervention.</w:t>
      </w:r>
    </w:p>
    <w:p>
      <w:pPr>
        <w:pStyle w:val="BodyText"/>
      </w:pPr>
      <w:r>
        <w:rPr>
          <w:b/>
          <w:bCs/>
        </w:rPr>
        <w:t xml:space="preserve">The Bodily Property Argument (Feminist Property Theory)</w:t>
      </w:r>
    </w:p>
    <w:p>
      <w:pPr>
        <w:pStyle w:val="Compact"/>
        <w:numPr>
          <w:ilvl w:val="0"/>
          <w:numId w:val="1002"/>
        </w:numPr>
      </w:pPr>
      <w:r>
        <w:t xml:space="preserve">Every human being has a right of self-ownership over their own body, including their cells.</w:t>
      </w:r>
    </w:p>
    <w:p>
      <w:pPr>
        <w:pStyle w:val="Compact"/>
        <w:numPr>
          <w:ilvl w:val="0"/>
          <w:numId w:val="1002"/>
        </w:numPr>
      </w:pPr>
      <w:r>
        <w:t xml:space="preserve">If humans have a right of self-ownership over their cells, then using a patient’s cells without consent and profit-sharing is a violation of self-ownership.</w:t>
      </w:r>
    </w:p>
    <w:p>
      <w:pPr>
        <w:pStyle w:val="Compact"/>
        <w:numPr>
          <w:ilvl w:val="0"/>
          <w:numId w:val="1002"/>
        </w:numPr>
      </w:pPr>
      <w:r>
        <w:t xml:space="preserve">Therefore, utilizing a patient’s cells for commercial research without consent violates their right of self-ownership.</w:t>
      </w:r>
    </w:p>
    <w:p>
      <w:pPr>
        <w:pStyle w:val="FirstParagraph"/>
      </w:pPr>
      <w:r>
        <w:t xml:space="preserve">Under this argument, the remedy is clear: patients must have legal title to their excised tissues, giving them the right to control their use and share in any commercial profits.</w:t>
      </w:r>
    </w:p>
    <w:bookmarkEnd w:id="10"/>
    <w:bookmarkStart w:id="11" w:name="X5b9edc4b762c7769a91affbedc9e37f881381f1"/>
    <w:p>
      <w:pPr>
        <w:pStyle w:val="Heading3"/>
      </w:pPr>
      <w:r>
        <w:t xml:space="preserve">Move 2: The Public Interest Objection and the Anticommons</w:t>
      </w:r>
    </w:p>
    <w:p>
      <w:pPr>
        <w:pStyle w:val="FirstParagraph"/>
      </w:pPr>
      <w:r>
        <w:t xml:space="preserve">The Bodily Property Argument was legally tested and rejected by the California Supreme Court in the landmark case</w:t>
      </w:r>
      <w:r>
        <w:t xml:space="preserve"> </w:t>
      </w:r>
      <w:r>
        <w:rPr>
          <w:i/>
          <w:iCs/>
        </w:rPr>
        <w:t xml:space="preserve">Moore v. Regents of the University of California</w:t>
      </w:r>
      <w:r>
        <w:t xml:space="preserve"> </w:t>
      </w:r>
      <w:r>
        <w:t xml:space="preserve">(1990)</w:t>
      </w:r>
      <w:r>
        <w:t xml:space="preserve"> </w:t>
      </w:r>
      <w:r>
        <w:t xml:space="preserve">(</w:t>
      </w:r>
      <w:hyperlink w:anchor="ref-moore1990">
        <w:r>
          <w:rPr>
            <w:rStyle w:val="Hyperlink"/>
          </w:rPr>
          <w:t xml:space="preserve">Supreme Court of California 1990</w:t>
        </w:r>
      </w:hyperlink>
      <w:r>
        <w:t xml:space="preserve">)</w:t>
      </w:r>
      <w:r>
        <w:t xml:space="preserve">. The court was forced to balance patient autonomy against the broader public interest of scientific progress.</w:t>
      </w:r>
    </w:p>
    <w:p>
      <w:pPr>
        <w:pStyle w:val="BodyText"/>
      </w:pPr>
      <w:r>
        <w:t xml:space="preserve">Writing for the majority,</w:t>
      </w:r>
      <w:r>
        <w:t xml:space="preserve"> </w:t>
      </w:r>
      <w:r>
        <w:rPr>
          <w:b/>
          <w:bCs/>
        </w:rPr>
        <w:t xml:space="preserve">Justice Edward Panelli</w:t>
      </w:r>
      <w:r>
        <w:t xml:space="preserve"> </w:t>
      </w:r>
      <w:r>
        <w:t xml:space="preserve">(</w:t>
      </w:r>
      <w:hyperlink w:anchor="ref-moore1990">
        <w:r>
          <w:rPr>
            <w:rStyle w:val="Hyperlink"/>
          </w:rPr>
          <w:t xml:space="preserve">Supreme Court of California 1990</w:t>
        </w:r>
      </w:hyperlink>
      <w:r>
        <w:t xml:space="preserve">)</w:t>
      </w:r>
      <w:r>
        <w:t xml:space="preserve"> </w:t>
      </w:r>
      <w:r>
        <w:t xml:space="preserve">argued that granting patients permanent property rights over their excised tissues would threaten the entire biomedical enterprise. Panelli relied heavily on the economic theory of the</w:t>
      </w:r>
      <w:r>
        <w:t xml:space="preserve"> </w:t>
      </w:r>
      <w:r>
        <w:rPr>
          <w:b/>
          <w:bCs/>
        </w:rPr>
        <w:t xml:space="preserve">tragedy of the anticommons</w:t>
      </w:r>
      <w:r>
        <w:t xml:space="preserve">—a state where scientific progress is paralyzed because researchers must negotiate costly licensing agreements with thousands of tissue donors for every drug trial.</w:t>
      </w:r>
    </w:p>
    <w:p>
      <w:pPr>
        <w:pStyle w:val="BodyText"/>
      </w:pPr>
      <w:r>
        <w:rPr>
          <w:b/>
          <w:bCs/>
        </w:rPr>
        <w:t xml:space="preserve">The Anticommons Argument (Justice Panelli’s Majority Opinion)</w:t>
      </w:r>
    </w:p>
    <w:p>
      <w:pPr>
        <w:pStyle w:val="Compact"/>
        <w:numPr>
          <w:ilvl w:val="0"/>
          <w:numId w:val="1003"/>
        </w:numPr>
      </w:pPr>
      <w:r>
        <w:t xml:space="preserve">Public policy should maximize scientific progress in medicine for the public good.</w:t>
      </w:r>
    </w:p>
    <w:p>
      <w:pPr>
        <w:pStyle w:val="Compact"/>
        <w:numPr>
          <w:ilvl w:val="0"/>
          <w:numId w:val="1003"/>
        </w:numPr>
      </w:pPr>
      <w:r>
        <w:t xml:space="preserve">Granting patients property rights over excised tissues would create an</w:t>
      </w:r>
      <w:r>
        <w:t xml:space="preserve"> </w:t>
      </w:r>
      <w:r>
        <w:t xml:space="preserve">“anticommons”</w:t>
      </w:r>
      <w:r>
        <w:t xml:space="preserve"> </w:t>
      </w:r>
      <w:r>
        <w:t xml:space="preserve">that paralyzes scientific progress.</w:t>
      </w:r>
    </w:p>
    <w:p>
      <w:pPr>
        <w:pStyle w:val="Compact"/>
        <w:numPr>
          <w:ilvl w:val="0"/>
          <w:numId w:val="1003"/>
        </w:numPr>
      </w:pPr>
      <w:r>
        <w:t xml:space="preserve">Therefore, public policy should not grant patients property rights over excised tissues.</w:t>
      </w:r>
    </w:p>
    <w:p>
      <w:pPr>
        <w:pStyle w:val="FirstParagraph"/>
      </w:pPr>
      <w:r>
        <w:t xml:space="preserve">However, this pragmatic view was sharply contested within the court itself. In a famous dissenting opinion,</w:t>
      </w:r>
      <w:r>
        <w:t xml:space="preserve"> </w:t>
      </w:r>
      <w:r>
        <w:rPr>
          <w:b/>
          <w:bCs/>
        </w:rPr>
        <w:t xml:space="preserve">Justice Stanley Mosk</w:t>
      </w:r>
      <w:r>
        <w:t xml:space="preserve"> </w:t>
      </w:r>
      <w:r>
        <w:t xml:space="preserve">(</w:t>
      </w:r>
      <w:hyperlink w:anchor="ref-moore1990">
        <w:r>
          <w:rPr>
            <w:rStyle w:val="Hyperlink"/>
          </w:rPr>
          <w:t xml:space="preserve">Supreme Court of California 1990</w:t>
        </w:r>
      </w:hyperlink>
      <w:r>
        <w:t xml:space="preserve">)</w:t>
      </w:r>
      <w:r>
        <w:t xml:space="preserve"> </w:t>
      </w:r>
      <w:r>
        <w:t xml:space="preserve">rejected the majority’s asymmetric view of property. Mosk argued that if researchers and biotechnology companies can hold commercial property rights (patents) in a patient’s cell line, denying the patient any reciprocal share in that property is arbitrary, unequal, and unjust.</w:t>
      </w:r>
    </w:p>
    <w:p>
      <w:pPr>
        <w:pStyle w:val="BodyText"/>
      </w:pPr>
      <w:r>
        <w:rPr>
          <w:b/>
          <w:bCs/>
        </w:rPr>
        <w:t xml:space="preserve">The Reciprocal Property Argument (Justice Mosk’s Dissenting Opinion)</w:t>
      </w:r>
    </w:p>
    <w:p>
      <w:pPr>
        <w:pStyle w:val="Compact"/>
        <w:numPr>
          <w:ilvl w:val="0"/>
          <w:numId w:val="1004"/>
        </w:numPr>
      </w:pPr>
      <w:r>
        <w:t xml:space="preserve">It is unjust to grant biotech companies commercial property rights in cell lines while denying any property rights to the patients who provided the cells.</w:t>
      </w:r>
    </w:p>
    <w:p>
      <w:pPr>
        <w:pStyle w:val="Compact"/>
        <w:numPr>
          <w:ilvl w:val="0"/>
          <w:numId w:val="1004"/>
        </w:numPr>
      </w:pPr>
      <w:r>
        <w:t xml:space="preserve">Biotechnology companies are legally granted commercial property rights in cell lines.</w:t>
      </w:r>
    </w:p>
    <w:p>
      <w:pPr>
        <w:pStyle w:val="Compact"/>
        <w:numPr>
          <w:ilvl w:val="0"/>
          <w:numId w:val="1004"/>
        </w:numPr>
      </w:pPr>
      <w:r>
        <w:t xml:space="preserve">Therefore, patients should be granted a corresponding, equitable property interest in their cells.</w:t>
      </w:r>
    </w:p>
    <w:p>
      <w:pPr>
        <w:pStyle w:val="FirstParagraph"/>
      </w:pPr>
      <w:r>
        <w:t xml:space="preserve">According to Mosk, the public interest does not require exploiting patients. To allow corporations to enrich themselves while leaving the patient with nothing is a failure of basic legal equity.</w:t>
      </w:r>
    </w:p>
    <w:bookmarkEnd w:id="11"/>
    <w:bookmarkStart w:id="12" w:name="X2ccbe65fa41d5bce4460e277b3b431c74944cef"/>
    <w:p>
      <w:pPr>
        <w:pStyle w:val="Heading3"/>
      </w:pPr>
      <w:r>
        <w:t xml:space="preserve">Move 3: Relational Justice and Systemic Exploitation</w:t>
      </w:r>
    </w:p>
    <w:p>
      <w:pPr>
        <w:pStyle w:val="FirstParagraph"/>
      </w:pPr>
      <w:r>
        <w:t xml:space="preserve">The dispute between Panelli and Mosk focuses heavily on property law. But in her book</w:t>
      </w:r>
      <w:r>
        <w:t xml:space="preserve"> </w:t>
      </w:r>
      <w:r>
        <w:rPr>
          <w:i/>
          <w:iCs/>
        </w:rPr>
        <w:t xml:space="preserve">Medical Apartheid</w:t>
      </w:r>
      <w:r>
        <w:t xml:space="preserve">, bioethicist</w:t>
      </w:r>
      <w:r>
        <w:t xml:space="preserve"> </w:t>
      </w:r>
      <w:r>
        <w:rPr>
          <w:b/>
          <w:bCs/>
        </w:rPr>
        <w:t xml:space="preserve">Harriet Washington</w:t>
      </w:r>
      <w:r>
        <w:t xml:space="preserve"> </w:t>
      </w:r>
      <w:r>
        <w:t xml:space="preserve">(</w:t>
      </w:r>
      <w:hyperlink w:anchor="ref-washington2006">
        <w:r>
          <w:rPr>
            <w:rStyle w:val="Hyperlink"/>
          </w:rPr>
          <w:t xml:space="preserve">Washington 2006</w:t>
        </w:r>
      </w:hyperlink>
      <w:r>
        <w:t xml:space="preserve">)</w:t>
      </w:r>
      <w:r>
        <w:t xml:space="preserve"> </w:t>
      </w:r>
      <w:r>
        <w:t xml:space="preserve">argues that focusing solely on transaction failures (such as whether Henrietta was paid) misses the deeper structural injustice. Washington places the HeLa case within a long, systemic history of medical exploitation targeting African Americans.</w:t>
      </w:r>
    </w:p>
    <w:p>
      <w:pPr>
        <w:pStyle w:val="BodyText"/>
      </w:pPr>
      <w:r>
        <w:t xml:space="preserve">Under the Belmont principle of</w:t>
      </w:r>
      <w:r>
        <w:t xml:space="preserve"> </w:t>
      </w:r>
      <w:r>
        <w:rPr>
          <w:b/>
          <w:bCs/>
        </w:rPr>
        <w:t xml:space="preserve">Justice</w:t>
      </w:r>
      <w:r>
        <w:t xml:space="preserve"> </w:t>
      </w:r>
      <w:r>
        <w:t xml:space="preserve">(</w:t>
      </w:r>
      <w:hyperlink w:anchor="ref-belmont1979">
        <w:r>
          <w:rPr>
            <w:rStyle w:val="Hyperlink"/>
          </w:rPr>
          <w:t xml:space="preserve">National Commission for the Protection of Human Subjects of Biomedical and Behavioral Research 1979</w:t>
        </w:r>
      </w:hyperlink>
      <w:r>
        <w:t xml:space="preserve">)</w:t>
      </w:r>
      <w:r>
        <w:t xml:space="preserve">, the ethical wrong is a relational and structural one: a medical system that extracts biological resources from marginalized, under-insured populations to generate private corporate wealth, while returning no clinical benefits or basic healthcare access to those same communities.</w:t>
      </w:r>
    </w:p>
    <w:p>
      <w:pPr>
        <w:pStyle w:val="BodyText"/>
      </w:pPr>
      <w:r>
        <w:rPr>
          <w:b/>
          <w:bCs/>
        </w:rPr>
        <w:t xml:space="preserve">The Relational Justice Argument (Harriet Washington’s Critique)</w:t>
      </w:r>
    </w:p>
    <w:p>
      <w:pPr>
        <w:pStyle w:val="Compact"/>
        <w:numPr>
          <w:ilvl w:val="0"/>
          <w:numId w:val="1005"/>
        </w:numPr>
      </w:pPr>
      <w:r>
        <w:t xml:space="preserve">Excised biological tissue remains morally connected to the patient’s personal and genetic identity.</w:t>
      </w:r>
    </w:p>
    <w:p>
      <w:pPr>
        <w:pStyle w:val="Compact"/>
        <w:numPr>
          <w:ilvl w:val="0"/>
          <w:numId w:val="1005"/>
        </w:numPr>
      </w:pPr>
      <w:r>
        <w:t xml:space="preserve">Profiting from a patient’s genetic identity while denying their family access to basic healthcare treats them as a mere tool for another’s wealth.</w:t>
      </w:r>
    </w:p>
    <w:p>
      <w:pPr>
        <w:pStyle w:val="Compact"/>
        <w:numPr>
          <w:ilvl w:val="0"/>
          <w:numId w:val="1005"/>
        </w:numPr>
      </w:pPr>
      <w:r>
        <w:t xml:space="preserve">Therefore, commercializing a patient’s tissue without clinical benefit or compensation is exploitative and unjust.</w:t>
      </w:r>
    </w:p>
    <w:p>
      <w:pPr>
        <w:pStyle w:val="FirstParagraph"/>
      </w:pPr>
      <w:r>
        <w:t xml:space="preserve">From the relational justice perspective, the remedy is not to turn patients into tissue merchants, but to mandate community benefit sharing, corporate accountability, and universal access to the healthcare HeLa helped create.</w:t>
      </w:r>
    </w:p>
    <w:bookmarkEnd w:id="12"/>
    <w:bookmarkStart w:id="17" w:name="X296d28ad9d72ca7a5d5e89e741f213dc240e6a0"/>
    <w:p>
      <w:pPr>
        <w:pStyle w:val="Heading3"/>
      </w:pPr>
      <w:r>
        <w:t xml:space="preserve">Move 4: The Broad Consent Framework (The Regulatory Compromise)</w:t>
      </w:r>
    </w:p>
    <w:p>
      <w:pPr>
        <w:pStyle w:val="FirstParagraph"/>
      </w:pPr>
      <w:r>
        <w:t xml:space="preserve">In 2018, the US Department of Health and Human Services attempted to resolve this ongoing dispute by rewriting the</w:t>
      </w:r>
      <w:r>
        <w:t xml:space="preserve"> </w:t>
      </w:r>
      <w:r>
        <w:rPr>
          <w:b/>
          <w:bCs/>
        </w:rPr>
        <w:t xml:space="preserve">Common Rule</w:t>
      </w:r>
      <w:r>
        <w:t xml:space="preserve"> </w:t>
      </w:r>
      <w:r>
        <w:t xml:space="preserve">(</w:t>
      </w:r>
      <w:hyperlink w:anchor="ref-commonrule_hhs">
        <w:r>
          <w:rPr>
            <w:rStyle w:val="Hyperlink"/>
          </w:rPr>
          <w:t xml:space="preserve">US Department of Health and Human Services 2018</w:t>
        </w:r>
      </w:hyperlink>
      <w:r>
        <w:t xml:space="preserve">)</w:t>
      </w:r>
      <w:r>
        <w:t xml:space="preserve">—the federal policy protecting human subjects. The updated regulations introduced the concept of</w:t>
      </w:r>
      <w:r>
        <w:t xml:space="preserve"> </w:t>
      </w:r>
      <w:r>
        <w:rPr>
          <w:b/>
          <w:bCs/>
        </w:rPr>
        <w:t xml:space="preserve">broad consent</w:t>
      </w:r>
      <w:r>
        <w:t xml:space="preserve">.</w:t>
      </w:r>
    </w:p>
    <w:p>
      <w:pPr>
        <w:pStyle w:val="BodyText"/>
      </w:pPr>
      <w:r>
        <w:t xml:space="preserve">Bioethicists like</w:t>
      </w:r>
      <w:r>
        <w:t xml:space="preserve"> </w:t>
      </w:r>
      <w:r>
        <w:rPr>
          <w:b/>
          <w:bCs/>
        </w:rPr>
        <w:t xml:space="preserve">Ezekiel Emanuel</w:t>
      </w:r>
      <w:r>
        <w:t xml:space="preserve"> </w:t>
      </w:r>
      <w:r>
        <w:t xml:space="preserve">(</w:t>
      </w:r>
      <w:hyperlink w:anchor="ref-emanuel2000research">
        <w:r>
          <w:rPr>
            <w:rStyle w:val="Hyperlink"/>
          </w:rPr>
          <w:t xml:space="preserve">Emanuel et al. 2000</w:t>
        </w:r>
      </w:hyperlink>
      <w:r>
        <w:t xml:space="preserve">)</w:t>
      </w:r>
      <w:r>
        <w:t xml:space="preserve"> </w:t>
      </w:r>
      <w:r>
        <w:t xml:space="preserve">defended this regulatory move as a necessary compromise. It attempts to respect the Belmont principle of</w:t>
      </w:r>
      <w:r>
        <w:t xml:space="preserve"> </w:t>
      </w:r>
      <w:r>
        <w:rPr>
          <w:b/>
          <w:bCs/>
        </w:rPr>
        <w:t xml:space="preserve">Respect for Persons</w:t>
      </w:r>
      <w:r>
        <w:t xml:space="preserve"> </w:t>
      </w:r>
      <w:r>
        <w:t xml:space="preserve">(autonomy) at the point of clinical entry, while protecting</w:t>
      </w:r>
      <w:r>
        <w:t xml:space="preserve"> </w:t>
      </w:r>
      <w:r>
        <w:rPr>
          <w:b/>
          <w:bCs/>
        </w:rPr>
        <w:t xml:space="preserve">Beneficence</w:t>
      </w:r>
      <w:r>
        <w:t xml:space="preserve"> </w:t>
      </w:r>
      <w:r>
        <w:t xml:space="preserve">(scientific progress) by avoiding the paralyzing transaction costs of re-contacting patients for every subsequent biobank experiment.</w:t>
      </w:r>
    </w:p>
    <w:tbl>
      <w:tblPr>
        <w:tblStyle w:val="Table"/>
        <w:tblW w:type="pct" w:w="5000"/>
        <w:tblLayout w:type="fixed"/>
        <w:tblLook w:firstRow="0" w:lastRow="0" w:firstColumn="0" w:lastColumn="0" w:noHBand="0" w:noVBand="0" w:val="0000"/>
      </w:tblPr>
      <w:tblGrid>
        <w:gridCol w:w="7920"/>
      </w:tblGrid>
      <w:tr>
        <w:tc>
          <w:tcPr/>
          <w:bookmarkStart w:id="16" w:name="fig-consent-flow"/>
          <w:p>
            <w:pPr>
              <w:jc w:val="center"/>
            </w:pPr>
            <w:r>
              <w:drawing>
                <wp:inline>
                  <wp:extent cx="5334000" cy="1805353"/>
                  <wp:effectExtent b="0" l="0" r="0" t="0"/>
                  <wp:docPr descr="" title="" id="14" name="Picture"/>
                  <a:graphic>
                    <a:graphicData uri="http://schemas.openxmlformats.org/drawingml/2006/picture">
                      <pic:pic>
                        <pic:nvPicPr>
                          <pic:cNvPr descr="03-henrietta-lacks_files\figure-docx\dot-figure-1.png" id="15" name="Picture"/>
                          <pic:cNvPicPr>
                            <a:picLocks noChangeArrowheads="1" noChangeAspect="1"/>
                          </pic:cNvPicPr>
                        </pic:nvPicPr>
                        <pic:blipFill>
                          <a:blip r:embed="rId13"/>
                          <a:stretch>
                            <a:fillRect/>
                          </a:stretch>
                        </pic:blipFill>
                        <pic:spPr bwMode="auto">
                          <a:xfrm>
                            <a:off x="0" y="0"/>
                            <a:ext cx="5334000" cy="18053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modern regulatory workflow for tissue banking under the 2018 Common Rule. When clinical biospecimens are collected (Left), they can be stored and used for future research only if they are de-identified (Middle). If the tissue is de-identified, the regulatory system licenses future unspecified research provided the patient checked the</w:t>
            </w:r>
            <w:r>
              <w:t xml:space="preserve"> </w:t>
            </w:r>
            <w:r>
              <w:t xml:space="preserve">‘Broad Consent’</w:t>
            </w:r>
            <w:r>
              <w:t xml:space="preserve"> </w:t>
            </w:r>
            <w:r>
              <w:t xml:space="preserve">box at clinical intake (Right). This workflow represents a compromise: it respects autonomy via an initial opt-in, but avoids the scientific paralysis of requiring specific consent for every subsequent experiment.</w:t>
            </w:r>
          </w:p>
          <w:bookmarkEnd w:id="16"/>
        </w:tc>
      </w:tr>
    </w:tbl>
    <w:p>
      <w:pPr>
        <w:pStyle w:val="BodyText"/>
      </w:pPr>
      <w:r>
        <w:rPr>
          <w:b/>
          <w:bCs/>
        </w:rPr>
        <w:t xml:space="preserve">Broad Consent.</w:t>
      </w:r>
      <w:r>
        <w:t xml:space="preserve"> </w:t>
      </w:r>
      <w:r>
        <w:rPr>
          <w:b/>
          <w:bCs/>
        </w:rPr>
        <w:t xml:space="preserve">Broad consent</w:t>
      </w:r>
      <w:r>
        <w:t xml:space="preserve"> </w:t>
      </w:r>
      <w:r>
        <w:t xml:space="preserve">is an authorization framework introduced under the 2018 Common Rule. It allows a patient to give a single, overarching consent at clinical intake for unspecified future scientific research on their stored biological tissues and data, bypassing the need for researchers to contact the patient for every new study.</w:t>
      </w:r>
    </w:p>
    <w:p>
      <w:pPr>
        <w:pStyle w:val="BodyText"/>
      </w:pPr>
      <w:r>
        <w:rPr>
          <w:b/>
          <w:bCs/>
        </w:rPr>
        <w:t xml:space="preserve">The Regulatory Compromise Argument</w:t>
      </w:r>
    </w:p>
    <w:p>
      <w:pPr>
        <w:pStyle w:val="Compact"/>
        <w:numPr>
          <w:ilvl w:val="0"/>
          <w:numId w:val="1006"/>
        </w:numPr>
      </w:pPr>
      <w:r>
        <w:t xml:space="preserve">Tissue research regulations must protect patient autonomy while preserving scientific efficiency.</w:t>
      </w:r>
    </w:p>
    <w:p>
      <w:pPr>
        <w:pStyle w:val="Compact"/>
        <w:numPr>
          <w:ilvl w:val="0"/>
          <w:numId w:val="1006"/>
        </w:numPr>
      </w:pPr>
      <w:r>
        <w:t xml:space="preserve">A system of</w:t>
      </w:r>
      <w:r>
        <w:t xml:space="preserve"> </w:t>
      </w:r>
      <w:r>
        <w:t xml:space="preserve">“broad consent”</w:t>
      </w:r>
      <w:r>
        <w:t xml:space="preserve"> </w:t>
      </w:r>
      <w:r>
        <w:t xml:space="preserve">at clinical intake protects autonomy through an initial choice while preserving scientific efficiency by avoiding re-consent.</w:t>
      </w:r>
    </w:p>
    <w:p>
      <w:pPr>
        <w:pStyle w:val="Compact"/>
        <w:numPr>
          <w:ilvl w:val="0"/>
          <w:numId w:val="1006"/>
        </w:numPr>
      </w:pPr>
      <w:r>
        <w:t xml:space="preserve">Therefore, broad consent is the most ethically balanced regulatory framework for tissue banking.</w:t>
      </w:r>
    </w:p>
    <w:p>
      <w:pPr>
        <w:pStyle w:val="FirstParagraph"/>
      </w:pPr>
      <w:r>
        <w:t xml:space="preserve">Proponents of this move argue that had broad consent existed in 1951, Henrietta would have been given the choice to opt-in, resolving the ethical failure while preserving George Gey’s ability to distribute HeLa cells to global research laboratories.</w:t>
      </w:r>
    </w:p>
    <w:bookmarkEnd w:id="17"/>
    <w:bookmarkStart w:id="18" w:name="X17aa70a1edb80d98e97bcea5732b0d7f1007ea6"/>
    <w:p>
      <w:pPr>
        <w:pStyle w:val="Heading3"/>
      </w:pPr>
      <w:r>
        <w:t xml:space="preserve">Move 5: Big Data, AI, and the Genomic Privacy Turn</w:t>
      </w:r>
    </w:p>
    <w:p>
      <w:pPr>
        <w:pStyle w:val="FirstParagraph"/>
      </w:pPr>
      <w:r>
        <w:t xml:space="preserve">The broad consent compromise rests entirely on one crucial premise:</w:t>
      </w:r>
      <w:r>
        <w:t xml:space="preserve"> </w:t>
      </w:r>
      <w:r>
        <w:rPr>
          <w:b/>
          <w:bCs/>
        </w:rPr>
        <w:t xml:space="preserve">de-identification</w:t>
      </w:r>
      <w:r>
        <w:t xml:space="preserve">. Under the Common Rule, if a biospecimen is stripped of names, medical record numbers, and other identifying details, it is no longer considered</w:t>
      </w:r>
      <w:r>
        <w:t xml:space="preserve"> </w:t>
      </w:r>
      <w:r>
        <w:t xml:space="preserve">“human subjects research,”</w:t>
      </w:r>
      <w:r>
        <w:t xml:space="preserve"> </w:t>
      </w:r>
      <w:r>
        <w:t xml:space="preserve">and the strict consent rules cease to apply.</w:t>
      </w:r>
    </w:p>
    <w:p>
      <w:pPr>
        <w:pStyle w:val="BodyText"/>
      </w:pPr>
      <w:r>
        <w:t xml:space="preserve">But in the age of Big Data and Artificial Intelligence (AI), de-identification has become a myth. In 2013, researchers led by</w:t>
      </w:r>
      <w:r>
        <w:t xml:space="preserve"> </w:t>
      </w:r>
      <w:r>
        <w:rPr>
          <w:b/>
          <w:bCs/>
        </w:rPr>
        <w:t xml:space="preserve">Jonathan Landry et al.</w:t>
      </w:r>
      <w:r>
        <w:t xml:space="preserve"> </w:t>
      </w:r>
      <w:r>
        <w:t xml:space="preserve">(</w:t>
      </w:r>
      <w:hyperlink w:anchor="ref-landry2013">
        <w:r>
          <w:rPr>
            <w:rStyle w:val="Hyperlink"/>
          </w:rPr>
          <w:t xml:space="preserve">Landry et al.</w:t>
        </w:r>
        <w:r>
          <w:rPr>
            <w:rStyle w:val="Hyperlink"/>
          </w:rPr>
          <w:t xml:space="preserve"> </w:t>
        </w:r>
        <w:r>
          <w:rPr>
            <w:rStyle w:val="Hyperlink"/>
          </w:rPr>
          <w:t xml:space="preserve">2013</w:t>
        </w:r>
      </w:hyperlink>
      <w:r>
        <w:t xml:space="preserve">)</w:t>
      </w:r>
      <w:r>
        <w:t xml:space="preserve"> </w:t>
      </w:r>
      <w:r>
        <w:t xml:space="preserve">sequenced the full HeLa genome and published it publicly on the internet. Because a person’s genome is uniquely theirs, publishing Henrietta’s genetic sequence instantly exposed private medical liabilities and disease risks about her living children, grandchildren, and future descendants. The family was never asked.</w:t>
      </w:r>
    </w:p>
    <w:p>
      <w:pPr>
        <w:pStyle w:val="BodyText"/>
      </w:pPr>
      <w:r>
        <w:t xml:space="preserve">Writing in</w:t>
      </w:r>
      <w:r>
        <w:t xml:space="preserve"> </w:t>
      </w:r>
      <w:r>
        <w:rPr>
          <w:i/>
          <w:iCs/>
        </w:rPr>
        <w:t xml:space="preserve">Nature</w:t>
      </w:r>
      <w:r>
        <w:t xml:space="preserve">, then-NIH Director</w:t>
      </w:r>
      <w:r>
        <w:t xml:space="preserve"> </w:t>
      </w:r>
      <w:r>
        <w:rPr>
          <w:b/>
          <w:bCs/>
        </w:rPr>
        <w:t xml:space="preserve">Francis Collins</w:t>
      </w:r>
      <w:r>
        <w:t xml:space="preserve"> </w:t>
      </w:r>
      <w:r>
        <w:t xml:space="preserve">(</w:t>
      </w:r>
      <w:hyperlink w:anchor="ref-hudson2013">
        <w:r>
          <w:rPr>
            <w:rStyle w:val="Hyperlink"/>
          </w:rPr>
          <w:t xml:space="preserve">Hudson and Collins 2013</w:t>
        </w:r>
      </w:hyperlink>
      <w:r>
        <w:t xml:space="preserve">)</w:t>
      </w:r>
      <w:r>
        <w:t xml:space="preserve"> </w:t>
      </w:r>
      <w:r>
        <w:t xml:space="preserve">led the response, negotiating a historic agreement to place HeLa genomic data under controlled access. But as bioethicists like Collins noted, this controversy exposed a deep systemic flaw: genomic data is fundamentally</w:t>
      </w:r>
      <w:r>
        <w:t xml:space="preserve"> </w:t>
      </w:r>
      <w:r>
        <w:rPr>
          <w:b/>
          <w:bCs/>
        </w:rPr>
        <w:t xml:space="preserve">relational shared data</w:t>
      </w:r>
      <w:r>
        <w:t xml:space="preserve">. It belongs to a biological family, not just an individual. One person’s decision to donate their genetic sample or allow its de-identified sequencing automatically compromises the privacy of their relatives.</w:t>
      </w:r>
    </w:p>
    <w:p>
      <w:pPr>
        <w:pStyle w:val="BodyText"/>
      </w:pPr>
      <w:r>
        <w:t xml:space="preserve">Today, Machine Learning (ML) models and AI-driven drug discovery have transformed this debate into a live ethical crisis:</w:t>
      </w:r>
    </w:p>
    <w:p>
      <w:pPr>
        <w:pStyle w:val="Compact"/>
        <w:numPr>
          <w:ilvl w:val="0"/>
          <w:numId w:val="1007"/>
        </w:numPr>
      </w:pPr>
      <w:r>
        <w:rPr>
          <w:b/>
          <w:bCs/>
        </w:rPr>
        <w:t xml:space="preserve">AI-Driven Re-identification:</w:t>
      </w:r>
      <w:r>
        <w:t xml:space="preserve"> </w:t>
      </w:r>
      <w:r>
        <w:t xml:space="preserve">Modern AI algorithms can easily cross-reference supposedly</w:t>
      </w:r>
      <w:r>
        <w:t xml:space="preserve"> </w:t>
      </w:r>
      <w:r>
        <w:t xml:space="preserve">“de-identified”</w:t>
      </w:r>
      <w:r>
        <w:t xml:space="preserve"> </w:t>
      </w:r>
      <w:r>
        <w:t xml:space="preserve">genomic sequences in biobanks with public genetic genealogy databases (like GEDmatch) and electronic health records, stripping away patient anonymity.</w:t>
      </w:r>
    </w:p>
    <w:p>
      <w:pPr>
        <w:pStyle w:val="Compact"/>
        <w:numPr>
          <w:ilvl w:val="0"/>
          <w:numId w:val="1007"/>
        </w:numPr>
      </w:pPr>
      <w:r>
        <w:rPr>
          <w:b/>
          <w:bCs/>
        </w:rPr>
        <w:t xml:space="preserve">AI Training and Biological IP:</w:t>
      </w:r>
      <w:r>
        <w:t xml:space="preserve"> </w:t>
      </w:r>
      <w:r>
        <w:t xml:space="preserve">Pharmaceutical companies now train massive machine learning models on millions of patients’ biospecimen sequences to discover drugs. If an AI model learns its weights from Henrietta’s genetic sequence or HeLa-derived proteins, who owns the resulting neural network? Does the donor estate have a claim on an AI weight file trained on their biological material?</w:t>
      </w:r>
    </w:p>
    <w:p>
      <w:pPr>
        <w:pStyle w:val="FirstParagraph"/>
      </w:pPr>
      <w:r>
        <w:rPr>
          <w:b/>
          <w:bCs/>
        </w:rPr>
        <w:t xml:space="preserve">The Genomic Identity Argument</w:t>
      </w:r>
    </w:p>
    <w:p>
      <w:pPr>
        <w:pStyle w:val="Compact"/>
        <w:numPr>
          <w:ilvl w:val="0"/>
          <w:numId w:val="1008"/>
        </w:numPr>
      </w:pPr>
      <w:r>
        <w:t xml:space="preserve">If genomic data can be easily re-identified, then researchers cannot rely on</w:t>
      </w:r>
      <w:r>
        <w:t xml:space="preserve"> </w:t>
      </w:r>
      <w:r>
        <w:t xml:space="preserve">“de-identification”</w:t>
      </w:r>
      <w:r>
        <w:t xml:space="preserve"> </w:t>
      </w:r>
      <w:r>
        <w:t xml:space="preserve">to bypass informed consent.</w:t>
      </w:r>
    </w:p>
    <w:p>
      <w:pPr>
        <w:pStyle w:val="Compact"/>
        <w:numPr>
          <w:ilvl w:val="0"/>
          <w:numId w:val="1008"/>
        </w:numPr>
      </w:pPr>
      <w:r>
        <w:t xml:space="preserve">Modern machine learning can easily re-identify genomic datasets.</w:t>
      </w:r>
    </w:p>
    <w:p>
      <w:pPr>
        <w:pStyle w:val="Compact"/>
        <w:numPr>
          <w:ilvl w:val="0"/>
          <w:numId w:val="1008"/>
        </w:numPr>
      </w:pPr>
      <w:r>
        <w:t xml:space="preserve">Therefore, researchers cannot rely on de-identification to bypass informed consent for genomic research.</w:t>
      </w:r>
    </w:p>
    <w:p>
      <w:pPr>
        <w:pStyle w:val="FirstParagraph"/>
      </w:pPr>
      <w:r>
        <w:t xml:space="preserve">This is the live edge of the dialogue. Today, we give blood, tumor biopsies, and saliva samples, believing they are</w:t>
      </w:r>
      <w:r>
        <w:t xml:space="preserve"> </w:t>
      </w:r>
      <w:r>
        <w:t xml:space="preserve">“de-identified.”</w:t>
      </w:r>
      <w:r>
        <w:t xml:space="preserve"> </w:t>
      </w:r>
      <w:r>
        <w:t xml:space="preserve">Yet, big data and AI can easily cross-reference these samples to re-identify us. The argument Henrietta Lacks started in 1951 is not a historical artifact—it is a live bioethical conflict that directly impacts our own genetic privacy and bodily rights today.</w:t>
      </w:r>
    </w:p>
    <w:bookmarkEnd w:id="18"/>
    <w:bookmarkEnd w:id="19"/>
    <w:bookmarkStart w:id="20" w:name="discussion-questions"/>
    <w:p>
      <w:pPr>
        <w:pStyle w:val="Heading2"/>
      </w:pPr>
      <w:r>
        <w:t xml:space="preserve">Discussion Questions</w:t>
      </w:r>
    </w:p>
    <w:p>
      <w:pPr>
        <w:pStyle w:val="Compact"/>
        <w:numPr>
          <w:ilvl w:val="0"/>
          <w:numId w:val="1009"/>
        </w:numPr>
      </w:pPr>
      <w:r>
        <w:rPr>
          <w:b/>
          <w:bCs/>
        </w:rPr>
        <w:t xml:space="preserve">Reconstruct &amp; Pressure-Test:</w:t>
      </w:r>
      <w:r>
        <w:t xml:space="preserve"> </w:t>
      </w:r>
      <w:r>
        <w:t xml:space="preserve">Reconstruct</w:t>
      </w:r>
      <w:r>
        <w:t xml:space="preserve"> </w:t>
      </w:r>
      <w:r>
        <w:rPr>
          <w:i/>
          <w:iCs/>
        </w:rPr>
        <w:t xml:space="preserve">The Anticommons Argument</w:t>
      </w:r>
      <w:r>
        <w:t xml:space="preserve"> </w:t>
      </w:r>
      <w:r>
        <w:t xml:space="preserve">(Panelli’s majority view) and</w:t>
      </w:r>
      <w:r>
        <w:t xml:space="preserve"> </w:t>
      </w:r>
      <w:r>
        <w:rPr>
          <w:i/>
          <w:iCs/>
        </w:rPr>
        <w:t xml:space="preserve">The Reciprocal Property Argument</w:t>
      </w:r>
      <w:r>
        <w:t xml:space="preserve"> </w:t>
      </w:r>
      <w:r>
        <w:t xml:space="preserve">(Mosk’s dissenting view) in your own words. Identify the single, core legal or moral premise that these two arguments disagree on, and defend one side of the dispute.</w:t>
      </w:r>
    </w:p>
    <w:p>
      <w:pPr>
        <w:pStyle w:val="Compact"/>
        <w:numPr>
          <w:ilvl w:val="0"/>
          <w:numId w:val="1009"/>
        </w:numPr>
      </w:pPr>
      <w:r>
        <w:rPr>
          <w:b/>
          <w:bCs/>
        </w:rPr>
        <w:t xml:space="preserve">Evaluating Broad Consent:</w:t>
      </w:r>
      <w:r>
        <w:t xml:space="preserve"> </w:t>
      </w:r>
      <w:r>
        <w:t xml:space="preserve">If Henrietta Lacks had signed a modern</w:t>
      </w:r>
      <w:r>
        <w:t xml:space="preserve"> </w:t>
      </w:r>
      <w:r>
        <w:t xml:space="preserve">“broad consent”</w:t>
      </w:r>
      <w:r>
        <w:t xml:space="preserve"> </w:t>
      </w:r>
      <w:r>
        <w:t xml:space="preserve">form in 1951, would this have resolved the structural and relational injustices raised by Harriet Washington? Why or why not?</w:t>
      </w:r>
    </w:p>
    <w:p>
      <w:pPr>
        <w:pStyle w:val="Compact"/>
        <w:numPr>
          <w:ilvl w:val="0"/>
          <w:numId w:val="1009"/>
        </w:numPr>
      </w:pPr>
      <w:r>
        <w:rPr>
          <w:b/>
          <w:bCs/>
        </w:rPr>
        <w:t xml:space="preserve">The Ethics of AI Training:</w:t>
      </w:r>
      <w:r>
        <w:t xml:space="preserve"> </w:t>
      </w:r>
      <w:r>
        <w:t xml:space="preserve">Biotechnology companies are currently training generative AI models on clinical and genomic datasets to design new synthetic proteins. If a patient’s biological data is used to train an AI model, does the patient hold any moral claim to the resulting model weights or intellectual property? Use the Belmont principles to defend your answer.</w:t>
      </w:r>
    </w:p>
    <w:p>
      <w:pPr>
        <w:pStyle w:val="Compact"/>
        <w:numPr>
          <w:ilvl w:val="0"/>
          <w:numId w:val="1009"/>
        </w:numPr>
      </w:pPr>
      <w:r>
        <w:rPr>
          <w:b/>
          <w:bCs/>
        </w:rPr>
        <w:t xml:space="preserve">Clinical Practice Roleplay:</w:t>
      </w:r>
      <w:r>
        <w:t xml:space="preserve"> </w:t>
      </w:r>
      <w:r>
        <w:t xml:space="preserve">You are an oncology nurse. A patient undergoing a tumor biopsy asks you:</w:t>
      </w:r>
      <w:r>
        <w:t xml:space="preserve"> </w:t>
      </w:r>
      <w:r>
        <w:rPr>
          <w:i/>
          <w:iCs/>
        </w:rPr>
        <w:t xml:space="preserve">“I saw a box on my clinical forms about donating my left-over tissue. If they find something valuable in my cells and sell it, will my family get any money or help with our medical bills?”</w:t>
      </w:r>
      <w:r>
        <w:t xml:space="preserve"> </w:t>
      </w:r>
      <w:r>
        <w:t xml:space="preserve">How do you explain the clinical, legal, and financial realities of tissue donation without discouraging research?</w:t>
      </w:r>
    </w:p>
    <w:p>
      <w:pPr>
        <w:pStyle w:val="Compact"/>
        <w:numPr>
          <w:ilvl w:val="0"/>
          <w:numId w:val="1009"/>
        </w:numPr>
      </w:pPr>
      <w:r>
        <w:rPr>
          <w:b/>
          <w:bCs/>
        </w:rPr>
        <w:t xml:space="preserve">Genomic Privacy:</w:t>
      </w:r>
      <w:r>
        <w:t xml:space="preserve"> </w:t>
      </w:r>
      <w:r>
        <w:t xml:space="preserve">Given that genomic data cannot be truly de-identified and directly implicates a person’s children and relatives, should family members have a veto right over an individual’s decision to donate their genetic samples to public research databases?</w:t>
      </w:r>
    </w:p>
    <w:bookmarkEnd w:id="20"/>
    <w:bookmarkStart w:id="21" w:name="further-reading"/>
    <w:p>
      <w:pPr>
        <w:pStyle w:val="Heading2"/>
      </w:pPr>
      <w:r>
        <w:t xml:space="preserve">Further Reading</w:t>
      </w:r>
    </w:p>
    <w:p>
      <w:pPr>
        <w:pStyle w:val="Compact"/>
        <w:numPr>
          <w:ilvl w:val="0"/>
          <w:numId w:val="1010"/>
        </w:numPr>
      </w:pPr>
      <w:r>
        <w:rPr>
          <w:b/>
          <w:bCs/>
        </w:rPr>
        <w:t xml:space="preserve">Book:</w:t>
      </w:r>
      <w:r>
        <w:t xml:space="preserve"> </w:t>
      </w:r>
      <w:r>
        <w:rPr>
          <w:i/>
          <w:iCs/>
        </w:rPr>
        <w:t xml:space="preserve">The Immortal Life of Henrietta Lacks</w:t>
      </w:r>
      <w:r>
        <w:t xml:space="preserve"> </w:t>
      </w:r>
      <w:r>
        <w:t xml:space="preserve">by Rebecca Skloot (2010). The definitive, exhaustively researched narrative that brings Henrietta’s personal story and the scientific history of HeLa cells together.</w:t>
      </w:r>
    </w:p>
    <w:p>
      <w:pPr>
        <w:pStyle w:val="Compact"/>
        <w:numPr>
          <w:ilvl w:val="0"/>
          <w:numId w:val="1010"/>
        </w:numPr>
      </w:pPr>
      <w:r>
        <w:rPr>
          <w:b/>
          <w:bCs/>
        </w:rPr>
        <w:t xml:space="preserve">Book:</w:t>
      </w:r>
      <w:r>
        <w:t xml:space="preserve"> </w:t>
      </w:r>
      <w:r>
        <w:rPr>
          <w:i/>
          <w:iCs/>
        </w:rPr>
        <w:t xml:space="preserve">Medical Apartheid: The Dark History of Medical Experimentation on Black Americans from Colonial Times to the Present</w:t>
      </w:r>
      <w:r>
        <w:t xml:space="preserve"> </w:t>
      </w:r>
      <w:r>
        <w:t xml:space="preserve">by Harriet A. Washington (2006). A crucial historical text exploring structural racism and exploitation in medical research.</w:t>
      </w:r>
    </w:p>
    <w:p>
      <w:pPr>
        <w:pStyle w:val="Compact"/>
        <w:numPr>
          <w:ilvl w:val="0"/>
          <w:numId w:val="1010"/>
        </w:numPr>
      </w:pPr>
      <w:r>
        <w:rPr>
          <w:b/>
          <w:bCs/>
        </w:rPr>
        <w:t xml:space="preserve">Article:</w:t>
      </w:r>
      <w:r>
        <w:t xml:space="preserve"> </w:t>
      </w:r>
      <w:r>
        <w:t xml:space="preserve">“Biospecimen Policy: Family Matters”</w:t>
      </w:r>
      <w:r>
        <w:t xml:space="preserve"> </w:t>
      </w:r>
      <w:r>
        <w:t xml:space="preserve">by Kathy L. Hudson and Francis S. Collins (2013) in</w:t>
      </w:r>
      <w:r>
        <w:t xml:space="preserve"> </w:t>
      </w:r>
      <w:r>
        <w:rPr>
          <w:i/>
          <w:iCs/>
        </w:rPr>
        <w:t xml:space="preserve">Nature</w:t>
      </w:r>
      <w:r>
        <w:t xml:space="preserve">, detailing the historical NIH-Lacks family agreement and genomic database structure.</w:t>
      </w:r>
    </w:p>
    <w:bookmarkEnd w:id="21"/>
    <w:bookmarkStart w:id="37" w:name="references"/>
    <w:p>
      <w:pPr>
        <w:pStyle w:val="Heading2"/>
      </w:pPr>
      <w:r>
        <w:t xml:space="preserve">References</w:t>
      </w:r>
    </w:p>
    <w:bookmarkStart w:id="36" w:name="refs"/>
    <w:bookmarkStart w:id="22" w:name="ref-dickenson2007"/>
    <w:p>
      <w:pPr>
        <w:pStyle w:val="Bibliography"/>
      </w:pPr>
      <w:r>
        <w:t xml:space="preserve">Dickenson, Donna. 2007.</w:t>
      </w:r>
      <w:r>
        <w:t xml:space="preserve"> </w:t>
      </w:r>
      <w:r>
        <w:rPr>
          <w:i/>
          <w:iCs/>
        </w:rPr>
        <w:t xml:space="preserve">Property in the Body: Feminist Perspectives</w:t>
      </w:r>
      <w:r>
        <w:t xml:space="preserve">. Cambridge University Press.</w:t>
      </w:r>
    </w:p>
    <w:bookmarkEnd w:id="22"/>
    <w:bookmarkStart w:id="24" w:name="ref-emanuel2000research"/>
    <w:p>
      <w:pPr>
        <w:pStyle w:val="Bibliography"/>
      </w:pPr>
      <w:r>
        <w:t xml:space="preserve">Emanuel, Ezekiel J., David Wendler, and Christine Grady. 2000.</w:t>
      </w:r>
      <w:r>
        <w:t xml:space="preserve"> </w:t>
      </w:r>
      <w:r>
        <w:t xml:space="preserve">“What Makes Clinical Research Ethical?”</w:t>
      </w:r>
      <w:r>
        <w:t xml:space="preserve"> </w:t>
      </w:r>
      <w:r>
        <w:rPr>
          <w:i/>
          <w:iCs/>
        </w:rPr>
        <w:t xml:space="preserve">JAMA</w:t>
      </w:r>
      <w:r>
        <w:t xml:space="preserve"> </w:t>
      </w:r>
      <w:r>
        <w:t xml:space="preserve">283 (20): 2701–11.</w:t>
      </w:r>
      <w:r>
        <w:t xml:space="preserve"> </w:t>
      </w:r>
      <w:hyperlink r:id="rId23">
        <w:r>
          <w:rPr>
            <w:rStyle w:val="Hyperlink"/>
          </w:rPr>
          <w:t xml:space="preserve">https://doi.org/10.1001/jama.283.20.2701</w:t>
        </w:r>
      </w:hyperlink>
      <w:r>
        <w:t xml:space="preserve">.</w:t>
      </w:r>
    </w:p>
    <w:bookmarkEnd w:id="24"/>
    <w:bookmarkStart w:id="26" w:name="ref-hudson2013"/>
    <w:p>
      <w:pPr>
        <w:pStyle w:val="Bibliography"/>
      </w:pPr>
      <w:r>
        <w:t xml:space="preserve">Hudson, Kathy L., and Francis S. Collins. 2013.</w:t>
      </w:r>
      <w:r>
        <w:t xml:space="preserve"> </w:t>
      </w:r>
      <w:r>
        <w:t xml:space="preserve">“Biospecimen Policy: Family Matters.”</w:t>
      </w:r>
      <w:r>
        <w:t xml:space="preserve"> </w:t>
      </w:r>
      <w:r>
        <w:rPr>
          <w:i/>
          <w:iCs/>
        </w:rPr>
        <w:t xml:space="preserve">Nature</w:t>
      </w:r>
      <w:r>
        <w:t xml:space="preserve"> </w:t>
      </w:r>
      <w:r>
        <w:t xml:space="preserve">500 (7461): 141–42.</w:t>
      </w:r>
      <w:r>
        <w:t xml:space="preserve"> </w:t>
      </w:r>
      <w:hyperlink r:id="rId25">
        <w:r>
          <w:rPr>
            <w:rStyle w:val="Hyperlink"/>
          </w:rPr>
          <w:t xml:space="preserve">https://doi.org/10.1038/500141a</w:t>
        </w:r>
      </w:hyperlink>
      <w:r>
        <w:t xml:space="preserve">.</w:t>
      </w:r>
    </w:p>
    <w:bookmarkEnd w:id="26"/>
    <w:bookmarkStart w:id="28" w:name="ref-landry2013"/>
    <w:p>
      <w:pPr>
        <w:pStyle w:val="Bibliography"/>
      </w:pPr>
      <w:r>
        <w:t xml:space="preserve">Landry, Jonathan J. M., Paul Theodor Pyl, Thomas Rausch, et al.</w:t>
      </w:r>
      <w:r>
        <w:t xml:space="preserve"> 2013.</w:t>
      </w:r>
      <w:r>
        <w:t xml:space="preserve"> </w:t>
      </w:r>
      <w:r>
        <w:t xml:space="preserve">“The Genomic and Transcriptomic Landscape of a</w:t>
      </w:r>
      <w:r>
        <w:t xml:space="preserve"> </w:t>
      </w:r>
      <w:r>
        <w:t xml:space="preserve">HeLa</w:t>
      </w:r>
      <w:r>
        <w:t xml:space="preserve"> </w:t>
      </w:r>
      <w:r>
        <w:t xml:space="preserve">Cell Line.”</w:t>
      </w:r>
      <w:r>
        <w:t xml:space="preserve"> </w:t>
      </w:r>
      <w:r>
        <w:rPr>
          <w:i/>
          <w:iCs/>
        </w:rPr>
        <w:t xml:space="preserve">G3: Genes, Genomes, Genetics</w:t>
      </w:r>
      <w:r>
        <w:t xml:space="preserve"> </w:t>
      </w:r>
      <w:r>
        <w:t xml:space="preserve">3 (8): 1213–24.</w:t>
      </w:r>
      <w:r>
        <w:t xml:space="preserve"> </w:t>
      </w:r>
      <w:hyperlink r:id="rId27">
        <w:r>
          <w:rPr>
            <w:rStyle w:val="Hyperlink"/>
          </w:rPr>
          <w:t xml:space="preserve">https://doi.org/10.1534/g3.113.005777</w:t>
        </w:r>
      </w:hyperlink>
      <w:r>
        <w:t xml:space="preserve">.</w:t>
      </w:r>
    </w:p>
    <w:bookmarkEnd w:id="28"/>
    <w:bookmarkStart w:id="30" w:name="ref-belmont1979"/>
    <w:p>
      <w:pPr>
        <w:pStyle w:val="Bibliography"/>
      </w:pPr>
      <w:r>
        <w:t xml:space="preserve">National Commission for the Protection of Human Subjects of Biomedical and Behavioral Research. 1979.</w:t>
      </w:r>
      <w:r>
        <w:t xml:space="preserve"> </w:t>
      </w:r>
      <w:r>
        <w:rPr>
          <w:i/>
          <w:iCs/>
        </w:rPr>
        <w:t xml:space="preserve">The</w:t>
      </w:r>
      <w:r>
        <w:rPr>
          <w:i/>
          <w:iCs/>
        </w:rPr>
        <w:t xml:space="preserve"> </w:t>
      </w:r>
      <w:r>
        <w:rPr>
          <w:i/>
          <w:iCs/>
        </w:rPr>
        <w:t xml:space="preserve">Belmont</w:t>
      </w:r>
      <w:r>
        <w:rPr>
          <w:i/>
          <w:iCs/>
        </w:rPr>
        <w:t xml:space="preserve"> </w:t>
      </w:r>
      <w:r>
        <w:rPr>
          <w:i/>
          <w:iCs/>
        </w:rPr>
        <w:t xml:space="preserve">Report: Ethical Principles and Guidelines for the Protection of Human Subjects of Research</w:t>
      </w:r>
      <w:r>
        <w:t xml:space="preserve">. U.S. Department of Health, Education, and Welfare.</w:t>
      </w:r>
      <w:r>
        <w:t xml:space="preserve"> </w:t>
      </w:r>
      <w:hyperlink r:id="rId29">
        <w:r>
          <w:rPr>
            <w:rStyle w:val="Hyperlink"/>
          </w:rPr>
          <w:t xml:space="preserve">https://www.hhs.gov/ohrp/regulations-and-policy/belmont-report/index.html</w:t>
        </w:r>
      </w:hyperlink>
      <w:r>
        <w:t xml:space="preserve">.</w:t>
      </w:r>
    </w:p>
    <w:bookmarkEnd w:id="30"/>
    <w:bookmarkStart w:id="31" w:name="ref-skloot2010"/>
    <w:p>
      <w:pPr>
        <w:pStyle w:val="Bibliography"/>
      </w:pPr>
      <w:r>
        <w:t xml:space="preserve">Skloot, Rebecca. 2010.</w:t>
      </w:r>
      <w:r>
        <w:t xml:space="preserve"> </w:t>
      </w:r>
      <w:r>
        <w:rPr>
          <w:i/>
          <w:iCs/>
        </w:rPr>
        <w:t xml:space="preserve">The Immortal Life of Henrietta Lacks</w:t>
      </w:r>
      <w:r>
        <w:t xml:space="preserve">. Crown Publishing Group.</w:t>
      </w:r>
    </w:p>
    <w:bookmarkEnd w:id="31"/>
    <w:bookmarkStart w:id="32" w:name="ref-moore1990"/>
    <w:p>
      <w:pPr>
        <w:pStyle w:val="Bibliography"/>
      </w:pPr>
      <w:r>
        <w:t xml:space="preserve">Supreme Court of California. 1990.</w:t>
      </w:r>
      <w:r>
        <w:t xml:space="preserve"> </w:t>
      </w:r>
      <w:r>
        <w:t xml:space="preserve">“</w:t>
      </w:r>
      <w:r>
        <w:t xml:space="preserve">Moore</w:t>
      </w:r>
      <w:r>
        <w:t xml:space="preserve"> </w:t>
      </w:r>
      <w:r>
        <w:t xml:space="preserve">v.</w:t>
      </w:r>
      <w:r>
        <w:t xml:space="preserve"> </w:t>
      </w:r>
      <w:r>
        <w:t xml:space="preserve">Regents</w:t>
      </w:r>
      <w:r>
        <w:t xml:space="preserve"> </w:t>
      </w:r>
      <w:r>
        <w:t xml:space="preserve">of the</w:t>
      </w:r>
      <w:r>
        <w:t xml:space="preserve"> </w:t>
      </w:r>
      <w:r>
        <w:t xml:space="preserve">University</w:t>
      </w:r>
      <w:r>
        <w:t xml:space="preserve"> </w:t>
      </w:r>
      <w:r>
        <w:t xml:space="preserve">of</w:t>
      </w:r>
      <w:r>
        <w:t xml:space="preserve"> </w:t>
      </w:r>
      <w:r>
        <w:t xml:space="preserve">California</w:t>
      </w:r>
      <w:r>
        <w:t xml:space="preserve">.”</w:t>
      </w:r>
      <w:r>
        <w:t xml:space="preserve"> </w:t>
      </w:r>
      <w:r>
        <w:rPr>
          <w:i/>
          <w:iCs/>
        </w:rPr>
        <w:t xml:space="preserve">California Reports, Third Series</w:t>
      </w:r>
      <w:r>
        <w:t xml:space="preserve"> </w:t>
      </w:r>
      <w:r>
        <w:t xml:space="preserve">51: 120–64.</w:t>
      </w:r>
    </w:p>
    <w:bookmarkEnd w:id="32"/>
    <w:bookmarkStart w:id="34" w:name="ref-commonrule_hhs"/>
    <w:p>
      <w:pPr>
        <w:pStyle w:val="Bibliography"/>
      </w:pPr>
      <w:r>
        <w:t xml:space="preserve">US Department of Health and Human Services. 2018.</w:t>
      </w:r>
      <w:r>
        <w:t xml:space="preserve"> </w:t>
      </w:r>
      <w:r>
        <w:rPr>
          <w:i/>
          <w:iCs/>
        </w:rPr>
        <w:t xml:space="preserve">Federal Policy for the Protection of Human Subjects (</w:t>
      </w:r>
      <w:r>
        <w:rPr>
          <w:i/>
          <w:iCs/>
        </w:rPr>
        <w:t xml:space="preserve">“the Common Rule”</w:t>
      </w:r>
      <w:r>
        <w:rPr>
          <w:i/>
          <w:iCs/>
        </w:rPr>
        <w:t xml:space="preserve">)</w:t>
      </w:r>
      <w:r>
        <w:t xml:space="preserve">. Code of Federal Regulations, Title 45, Part 46.</w:t>
      </w:r>
      <w:r>
        <w:t xml:space="preserve"> </w:t>
      </w:r>
      <w:hyperlink r:id="rId33">
        <w:r>
          <w:rPr>
            <w:rStyle w:val="Hyperlink"/>
          </w:rPr>
          <w:t xml:space="preserve">https://www.hhs.gov/ohrp/regulations-and-policy/regulations/common-rule/index.html</w:t>
        </w:r>
      </w:hyperlink>
      <w:r>
        <w:t xml:space="preserve">.</w:t>
      </w:r>
    </w:p>
    <w:bookmarkEnd w:id="34"/>
    <w:bookmarkStart w:id="35" w:name="ref-washington2006"/>
    <w:p>
      <w:pPr>
        <w:pStyle w:val="Bibliography"/>
      </w:pPr>
      <w:r>
        <w:t xml:space="preserve">Washington, Harriet A. 2006.</w:t>
      </w:r>
      <w:r>
        <w:t xml:space="preserve"> </w:t>
      </w:r>
      <w:r>
        <w:rPr>
          <w:i/>
          <w:iCs/>
        </w:rPr>
        <w:t xml:space="preserve">Medical Apartheid: The Dark History of Medical Experimentation on Black Americans from Colonial Times to the Present</w:t>
      </w:r>
      <w:r>
        <w:t xml:space="preserve">. Doubleday.</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23" Target="https://doi.org/10.1001/jama.283.20.2701" TargetMode="External" /><Relationship Type="http://schemas.openxmlformats.org/officeDocument/2006/relationships/hyperlink" Id="rId25" Target="https://doi.org/10.1038/500141a" TargetMode="External" /><Relationship Type="http://schemas.openxmlformats.org/officeDocument/2006/relationships/hyperlink" Id="rId27" Target="https://doi.org/10.1534/g3.113.005777" TargetMode="External" /><Relationship Type="http://schemas.openxmlformats.org/officeDocument/2006/relationships/hyperlink" Id="rId29" Target="https://www.hhs.gov/ohrp/regulations-and-policy/belmont-report/index.html" TargetMode="External" /><Relationship Type="http://schemas.openxmlformats.org/officeDocument/2006/relationships/hyperlink" Id="rId33" Target="https://www.hhs.gov/ohrp/regulations-and-policy/regulations/common-rule/index.html" TargetMode="External" /></Relationships>
</file>

<file path=word/_rels/footnotes.xml.rels><?xml version="1.0" encoding="UTF-8"?><Relationships xmlns="http://schemas.openxmlformats.org/package/2006/relationships"><Relationship Type="http://schemas.openxmlformats.org/officeDocument/2006/relationships/hyperlink" Id="rId23" Target="https://doi.org/10.1001/jama.283.20.2701" TargetMode="External" /><Relationship Type="http://schemas.openxmlformats.org/officeDocument/2006/relationships/hyperlink" Id="rId25" Target="https://doi.org/10.1038/500141a" TargetMode="External" /><Relationship Type="http://schemas.openxmlformats.org/officeDocument/2006/relationships/hyperlink" Id="rId27" Target="https://doi.org/10.1534/g3.113.005777" TargetMode="External" /><Relationship Type="http://schemas.openxmlformats.org/officeDocument/2006/relationships/hyperlink" Id="rId29" Target="https://www.hhs.gov/ohrp/regulations-and-policy/belmont-report/index.html" TargetMode="External" /><Relationship Type="http://schemas.openxmlformats.org/officeDocument/2006/relationships/hyperlink" Id="rId33" Target="https://www.hhs.gov/ohrp/regulations-and-policy/regulations/common-rule/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Henrietta Lacks and HeLa Cells: Biospecimens, Informed Consent, and Genomic Privacy</dc:title>
  <dc:creator>Brendan Shea, PhD</dc:creator>
  <cp:keywords/>
  <dcterms:created xsi:type="dcterms:W3CDTF">2026-05-19T20:18:45Z</dcterms:created>
  <dcterms:modified xsi:type="dcterms:W3CDTF">2026-05-19T20:18:45Z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2026-05-19</vt:lpwstr>
  </property>
  <property fmtid="{D5CDD505-2E9C-101B-9397-08002B2CF9AE}" pid="9" name="engines">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subtitle">
    <vt:lpwstr>“The Cells That Never Died” — a bioethics case study</vt:lpwstr>
  </property>
  <property fmtid="{D5CDD505-2E9C-101B-9397-08002B2CF9AE}" pid="17" name="toc-title">
    <vt:lpwstr>Table of contents</vt:lpwstr>
  </property>
</Properties>
</file>