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clash between patient</w:t>
      </w:r>
      <w:r>
        <w:t xml:space="preserve"> </w:t>
      </w:r>
      <w:r>
        <w:rPr>
          <w:rStyle w:val="KeyTerm"/>
        </w:rPr>
        <w:t xml:space="preserve">autonomy</w:t>
      </w:r>
      <w:r>
        <w:t xml:space="preserve"> </w:t>
      </w:r>
      <w:r>
        <w:t xml:space="preserve">(a competent person’s right to refuse treatment) and clinical</w:t>
      </w:r>
      <w:r>
        <w:t xml:space="preserve"> </w:t>
      </w:r>
      <w:r>
        <w:rPr>
          <w:rStyle w:val="KeyTerm"/>
        </w:rP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named Donald, a name he would later change — was twenty-five. He was a former high-school football captain, a rodeo rider, and an Air Force pilot recently back from service. By every account, including his own, he was a young man who took his strong, fast, capable body for granted.</w:t>
      </w:r>
    </w:p>
    <w:p>
      <w:pPr>
        <w:pStyle w:val="BodyText"/>
      </w:pPr>
      <w:r>
        <w:t xml:space="preserve">They did not know that an underground propane pipeline near where they parked had been leaking. The gas had pooled, invisible and odorless,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The damage was severe:</w:t>
      </w:r>
    </w:p>
    <w:p>
      <w:pPr>
        <w:pStyle w:val="Compact"/>
        <w:numPr>
          <w:ilvl w:val="0"/>
          <w:numId w:val="1002"/>
        </w:numPr>
      </w:pPr>
      <w:r>
        <w:t xml:space="preserve">Burns covered about 65% of his body.</w:t>
      </w:r>
    </w:p>
    <w:p>
      <w:pPr>
        <w:pStyle w:val="Compact"/>
        <w:numPr>
          <w:ilvl w:val="0"/>
          <w:numId w:val="1002"/>
        </w:numPr>
      </w:pPr>
      <w:r>
        <w:t xml:space="preserve">The deepest, third-degree burns destroyed the skin of his face, ears, and hands.</w:t>
      </w:r>
    </w:p>
    <w:p>
      <w:pPr>
        <w:pStyle w:val="Compact"/>
        <w:numPr>
          <w:ilvl w:val="0"/>
          <w:numId w:val="1002"/>
        </w:numPr>
      </w:pPr>
      <w:r>
        <w:t xml:space="preserve">He was blinded in both eyes.</w:t>
      </w:r>
    </w:p>
    <w:p>
      <w:pPr>
        <w:pStyle w:val="Compact"/>
        <w:numPr>
          <w:ilvl w:val="0"/>
          <w:numId w:val="1002"/>
        </w:numPr>
      </w:pPr>
      <w:r>
        <w:t xml:space="preserve">Most of his fingers were later amputated.</w:t>
      </w:r>
    </w:p>
    <w:p>
      <w:pPr>
        <w:pStyle w:val="Compact"/>
        <w:numPr>
          <w:ilvl w:val="0"/>
          <w:numId w:val="1002"/>
        </w:numPr>
      </w:pPr>
      <w:r>
        <w:t xml:space="preserve">He was conscious, and he stayed conscious.</w:t>
      </w:r>
    </w:p>
    <w:p>
      <w:pPr>
        <w:pStyle w:val="FirstParagraph"/>
      </w:pPr>
      <w:r>
        <w:t xml:space="preserve">What followed was fourteen months of treatment that Cowart would later describe, without exaggeration, as</w:t>
      </w:r>
      <w:r>
        <w:t xml:space="preserve"> </w:t>
      </w:r>
      <w:r>
        <w:t xml:space="preserve">“pure hell.”</w:t>
      </w:r>
      <w:r>
        <w:t xml:space="preserve"> </w:t>
      </w:r>
      <w:r>
        <w:t xml:space="preserve">The medical necessity was real.</w:t>
      </w:r>
    </w:p>
    <w:p>
      <w:pPr>
        <w:pStyle w:val="ContextBox"/>
      </w:pPr>
      <w:r>
        <w:rPr>
          <w:b/>
          <w:bCs/>
        </w:rPr>
        <w:t xml:space="preserve">Why the treatment was unavoidable.</w:t>
      </w:r>
      <w:r>
        <w:t xml:space="preserve"> </w:t>
      </w:r>
      <w:r>
        <w:t xml:space="preserve">Burn depth is graded by layer:</w:t>
      </w:r>
    </w:p>
    <w:p>
      <w:pPr>
        <w:pStyle w:val="Compact"/>
        <w:numPr>
          <w:ilvl w:val="0"/>
          <w:numId w:val="1003"/>
        </w:numPr>
      </w:pPr>
      <w:r>
        <w:rPr>
          <w:i/>
          <w:iCs/>
        </w:rPr>
        <w:t xml:space="preserve">First-degree</w:t>
      </w:r>
      <w:r>
        <w:t xml:space="preserve"> </w:t>
      </w:r>
      <w:r>
        <w:t xml:space="preserve">burns affect only the outer skin (an ordinary sunburn).</w:t>
      </w:r>
    </w:p>
    <w:p>
      <w:pPr>
        <w:pStyle w:val="Compact"/>
        <w:numPr>
          <w:ilvl w:val="0"/>
          <w:numId w:val="1003"/>
        </w:numPr>
      </w:pPr>
      <w:r>
        <w:rPr>
          <w:i/>
          <w:iCs/>
        </w:rPr>
        <w:t xml:space="preserve">Second-degree</w:t>
      </w:r>
      <w:r>
        <w:t xml:space="preserve"> </w:t>
      </w:r>
      <w:r>
        <w:t xml:space="preserve">burns blister and are intensely painful.</w:t>
      </w:r>
    </w:p>
    <w:p>
      <w:pPr>
        <w:pStyle w:val="Compact"/>
        <w:numPr>
          <w:ilvl w:val="0"/>
          <w:numId w:val="1003"/>
        </w:numPr>
      </w:pPr>
      <w:r>
        <w:rPr>
          <w:i/>
          <w:iCs/>
        </w:rPr>
        <w:t xml:space="preserve">Third-degree</w:t>
      </w:r>
      <w:r>
        <w:t xml:space="preserve"> </w:t>
      </w:r>
      <w:r>
        <w:t xml:space="preserve">(full-thickness) burns destroy all skin layers.</w:t>
      </w:r>
    </w:p>
    <w:p>
      <w:pPr>
        <w:pStyle w:val="ContextBox"/>
      </w:pPr>
      <w:r>
        <w:t xml:space="preserve">The amount burned is reported as percent of</w:t>
      </w:r>
      <w:r>
        <w:t xml:space="preserve"> </w:t>
      </w:r>
      <w:r>
        <w:rPr>
          <w:rStyle w:val="KeyTerm"/>
        </w:rPr>
        <w:t xml:space="preserve">total body surface area</w:t>
      </w:r>
      <w:r>
        <w:t xml:space="preserve"> </w:t>
      </w:r>
      <w:r>
        <w:t xml:space="preserve">(TBSA). At ~65% TBSA, much of it third-degree, Cowart was at the edge of what was survivable in 1973. Survival required</w:t>
      </w:r>
      <w:r>
        <w:t xml:space="preserve"> </w:t>
      </w:r>
      <w:r>
        <w:rPr>
          <w:rStyle w:val="KeyTerm"/>
        </w:rP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the start — at Parkland, and at every stage afterward — Cowart asked the people treating him to stop. Not in passing, and not only when the pain was worst. He asked his doctors, his nurses, and his mother, again and again, to end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That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They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w:t>
      </w:r>
      <w:r>
        <w:t xml:space="preserve"> </w:t>
      </w:r>
      <w:r>
        <w:rPr>
          <w:i/>
          <w:iCs/>
        </w:rPr>
        <w:t xml:space="preserve">whose decision it had been</w:t>
      </w:r>
      <w:r>
        <w:t xml:space="preserve"> </w:t>
      </w:r>
      <w:r>
        <w:t xml:space="preserve">—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Cowart’s case became the test the modern right to refuse treatment had to pass. The principle was already stirring in 1970s bioethics — that patients, not physicians, should rule over their own bodies — but it had not yet met a patient who was fully competent, in agony, and demanding to be allowed to die from injuries he was likely to survive. For fifty years Cowart, his physicians, and a line of philosophers and lawyers fought over the one question his case posed without escape: may a competent person refuse life-saving care precisely because the life saved would be his to live?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4"/>
        </w:numPr>
      </w:pPr>
      <w:r>
        <w:t xml:space="preserve">A competent adult has a moral right to refuse any medical treatment.</w:t>
      </w:r>
    </w:p>
    <w:p>
      <w:pPr>
        <w:pStyle w:val="Compact"/>
        <w:numPr>
          <w:ilvl w:val="0"/>
          <w:numId w:val="1004"/>
        </w:numPr>
      </w:pPr>
      <w:r>
        <w:t xml:space="preserve">Dax Cowart was a competent adult who refused treatment.</w:t>
      </w:r>
    </w:p>
    <w:p>
      <w:pPr>
        <w:pStyle w:val="Compact"/>
        <w:numPr>
          <w:ilvl w:val="0"/>
          <w:numId w:val="1004"/>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ContextBox"/>
      </w:pPr>
      <w:r>
        <w:rPr>
          <w:b/>
          <w:bCs/>
        </w:rPr>
        <w:t xml:space="preserve">Capacity, competence, and the surrogate.</w:t>
      </w:r>
      <w:r>
        <w:t xml:space="preserve"> </w:t>
      </w:r>
      <w:r>
        <w:rPr>
          <w:rStyle w:val="KeyTerm"/>
        </w:rPr>
        <w:t xml:space="preserve">Decision-making capacity</w:t>
      </w:r>
      <w:r>
        <w:t xml:space="preserve"> </w:t>
      </w:r>
      <w:r>
        <w:t xml:space="preserve">is a clinical judgment that a patient can do four things:</w:t>
      </w:r>
    </w:p>
    <w:p>
      <w:pPr>
        <w:pStyle w:val="Compact"/>
        <w:numPr>
          <w:ilvl w:val="0"/>
          <w:numId w:val="1005"/>
        </w:numPr>
      </w:pPr>
      <w:r>
        <w:t xml:space="preserve">Understand the relevant information.</w:t>
      </w:r>
    </w:p>
    <w:p>
      <w:pPr>
        <w:pStyle w:val="Compact"/>
        <w:numPr>
          <w:ilvl w:val="0"/>
          <w:numId w:val="1005"/>
        </w:numPr>
      </w:pPr>
      <w:r>
        <w:t xml:space="preserve">Appreciate how it applies to them.</w:t>
      </w:r>
    </w:p>
    <w:p>
      <w:pPr>
        <w:pStyle w:val="Compact"/>
        <w:numPr>
          <w:ilvl w:val="0"/>
          <w:numId w:val="1005"/>
        </w:numPr>
      </w:pPr>
      <w:r>
        <w:t xml:space="preserve">Reason about the options.</w:t>
      </w:r>
    </w:p>
    <w:p>
      <w:pPr>
        <w:pStyle w:val="Compact"/>
        <w:numPr>
          <w:ilvl w:val="0"/>
          <w:numId w:val="1005"/>
        </w:numPr>
      </w:pPr>
      <w:r>
        <w:t xml:space="preserve">Communicate a choice.</w:t>
      </w:r>
    </w:p>
    <w:p>
      <w:pPr>
        <w:pStyle w:val="ContextBox"/>
      </w:pPr>
      <w:r>
        <w:t xml:space="preserve">Capacity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rPr>
          <w:rStyle w:val="KeyTerm"/>
        </w:rP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Their claim was not that Cowart could not</w:t>
      </w:r>
      <w:r>
        <w:t xml:space="preserve"> </w:t>
      </w:r>
      <w:r>
        <w:rPr>
          <w:i/>
          <w:iCs/>
        </w:rPr>
        <w:t xml:space="preserve">talk</w:t>
      </w:r>
      <w:r>
        <w:t xml:space="preserve"> </w:t>
      </w:r>
      <w:r>
        <w:t xml:space="preserve">coherently. It was that a person in catastrophic pain, in shock, facing a future he could not yet imagine, is not making a</w:t>
      </w:r>
      <w:r>
        <w:t xml:space="preserve"> </w:t>
      </w:r>
      <w:r>
        <w:rPr>
          <w:i/>
          <w:iCs/>
        </w:rPr>
        <w:t xml:space="preserve">settled, autonomous</w:t>
      </w:r>
      <w:r>
        <w:t xml:space="preserve"> </w:t>
      </w:r>
      <w:r>
        <w:t xml:space="preserve">choice. He is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6"/>
        </w:numPr>
      </w:pPr>
      <w:r>
        <w:t xml:space="preserve">If a patient is in extreme pain and shock, their capacity to refuse treatment is undermined.</w:t>
      </w:r>
    </w:p>
    <w:p>
      <w:pPr>
        <w:pStyle w:val="Compact"/>
        <w:numPr>
          <w:ilvl w:val="0"/>
          <w:numId w:val="1006"/>
        </w:numPr>
      </w:pPr>
      <w:r>
        <w:t xml:space="preserve">Dax Cowart was in extreme pain and shock.</w:t>
      </w:r>
    </w:p>
    <w:p>
      <w:pPr>
        <w:pStyle w:val="Compact"/>
        <w:numPr>
          <w:ilvl w:val="0"/>
          <w:numId w:val="1006"/>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He called it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The reply also has empirical backing that did not exist when commentators first took Cowart’s side:</w:t>
      </w:r>
    </w:p>
    <w:p>
      <w:pPr>
        <w:pStyle w:val="Compact"/>
        <w:numPr>
          <w:ilvl w:val="0"/>
          <w:numId w:val="1007"/>
        </w:numPr>
      </w:pPr>
      <w:r>
        <w:t xml:space="preserve">A 1978 NIH consensus statement held that shock makes early decision-making nearly impossible for burn victims.</w:t>
      </w:r>
    </w:p>
    <w:p>
      <w:pPr>
        <w:pStyle w:val="Compact"/>
        <w:numPr>
          <w:ilvl w:val="0"/>
          <w:numId w:val="1007"/>
        </w:numPr>
      </w:pPr>
      <w:r>
        <w:t xml:space="preserve">In a later study, burn survivors interviewed years afterward said almost uniformly that informed consent was unrealistic at the moment of injury.</w:t>
      </w:r>
    </w:p>
    <w:p>
      <w:pPr>
        <w:pStyle w:val="Compact"/>
        <w:numPr>
          <w:ilvl w:val="0"/>
          <w:numId w:val="1007"/>
        </w:numPr>
      </w:pPr>
      <w:r>
        <w:t xml:space="preserve">They said the capacity to consent</w:t>
      </w:r>
      <w:r>
        <w:t xml:space="preserve"> </w:t>
      </w:r>
      <w:r>
        <w:rPr>
          <w:i/>
          <w:iCs/>
        </w:rPr>
        <w:t xml:space="preserve">developed over time</w:t>
      </w:r>
      <w:r>
        <w:t xml:space="preserve">.</w:t>
      </w:r>
    </w:p>
    <w:p>
      <w:pPr>
        <w:pStyle w:val="Compact"/>
        <w:numPr>
          <w:ilvl w:val="0"/>
          <w:numId w:val="1007"/>
        </w:numPr>
      </w:pPr>
      <w:r>
        <w:t xml:space="preserve">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ContextBox"/>
      </w:pPr>
      <w:r>
        <w:rPr>
          <w:b/>
          <w:bCs/>
        </w:rPr>
        <w:t xml:space="preserve">Informed consent vs. informed refusal — and how new it was.</w:t>
      </w:r>
      <w:r>
        <w:t xml:space="preserve"> </w:t>
      </w:r>
      <w:r>
        <w:rPr>
          <w:rStyle w:val="KeyTerm"/>
        </w:rP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rPr>
          <w:rStyle w:val="KeyTerm"/>
        </w:rPr>
        <w:t xml:space="preserve">informed refusal</w:t>
      </w:r>
      <w:r>
        <w:t xml:space="preserve"> </w:t>
      </w:r>
      <w:r>
        <w:t xml:space="preserve">— a competent patient’s right to</w:t>
      </w:r>
      <w:r>
        <w:t xml:space="preserve"> </w:t>
      </w:r>
      <w:r>
        <w:rPr>
          <w:i/>
          <w:iCs/>
        </w:rPr>
        <w:t xml:space="preserve">decline</w:t>
      </w:r>
      <w:r>
        <w:t xml:space="preserve"> </w:t>
      </w:r>
      <w:r>
        <w:t xml:space="preserve">life-saving care — was almost unrecognized. Many physicians trained in an older</w:t>
      </w:r>
      <w:r>
        <w:t xml:space="preserve"> </w:t>
      </w:r>
      <w:r>
        <w:rPr>
          <w:rStyle w:val="KeyTerm"/>
        </w:rPr>
        <w:t xml:space="preserve">paternalistic</w:t>
      </w:r>
      <w:r>
        <w:t xml:space="preserve"> </w:t>
      </w:r>
      <w:r>
        <w:t xml:space="preserve">model treated refusal of life-saving treatment as itself evidence of impaired judgment. That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rPr>
          <w:rStyle w:val="KeyTerm"/>
        </w:rPr>
        <w:t xml:space="preserve">utilitarian</w:t>
      </w:r>
      <w:r>
        <w:t xml:space="preserve"> </w:t>
      </w:r>
      <w:r>
        <w:t xml:space="preserve">move: maximize good outcomes across the class of burn patients.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8"/>
        </w:numPr>
      </w:pPr>
      <w:r>
        <w:t xml:space="preserve">The right to make a decision does not depend on the outcome of that decision.</w:t>
      </w:r>
    </w:p>
    <w:p>
      <w:pPr>
        <w:pStyle w:val="Compact"/>
        <w:numPr>
          <w:ilvl w:val="0"/>
          <w:numId w:val="1008"/>
        </w:numPr>
      </w:pPr>
      <w:r>
        <w:t xml:space="preserve">Pointing to a patient’s later gladness is an appeal to the outcome.</w:t>
      </w:r>
    </w:p>
    <w:p>
      <w:pPr>
        <w:pStyle w:val="Compact"/>
        <w:numPr>
          <w:ilvl w:val="0"/>
          <w:numId w:val="1008"/>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w:t>
      </w:r>
    </w:p>
    <w:p>
      <w:pPr>
        <w:pStyle w:val="BodyText"/>
      </w:pPr>
      <w:r>
        <w:t xml:space="preserve">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rPr>
          <w:rStyle w:val="KeyTerm"/>
        </w:rPr>
        <w:t xml:space="preserve">moral residue</w:t>
      </w:r>
      <w:r>
        <w:t xml:space="preserve">: even when overriding a duty is, on balance, defensible, the overridden duty does not vanish.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rPr>
          <w:rStyle w:val="KeyTerm"/>
        </w:rP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9"/>
        </w:numPr>
      </w:pPr>
      <w:r>
        <w:t xml:space="preserve">Desperate demands to die are often cries for sustained relationship rather than pure refusals.</w:t>
      </w:r>
    </w:p>
    <w:p>
      <w:pPr>
        <w:pStyle w:val="Compact"/>
        <w:numPr>
          <w:ilvl w:val="0"/>
          <w:numId w:val="1009"/>
        </w:numPr>
      </w:pPr>
      <w:r>
        <w:t xml:space="preserve">If a demand is a cry for relationship, then immediately complying with it is a form of abandonment.</w:t>
      </w:r>
    </w:p>
    <w:p>
      <w:pPr>
        <w:pStyle w:val="Compact"/>
        <w:numPr>
          <w:ilvl w:val="0"/>
          <w:numId w:val="1009"/>
        </w:numPr>
      </w:pPr>
      <w:r>
        <w:t xml:space="preserve">Therefore, immediately honoring a patient’s refusal to live can be a form of abandonment.</w:t>
      </w:r>
    </w:p>
    <w:p>
      <w:pPr>
        <w:pStyle w:val="FirstParagraph"/>
      </w:pPr>
      <w:r>
        <w:t xml:space="preserve">This is recognizably an</w:t>
      </w:r>
      <w:r>
        <w:t xml:space="preserve"> </w:t>
      </w:r>
      <w:r>
        <w:rPr>
          <w:rStyle w:val="KeyTerm"/>
        </w:rP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He conceded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when, exactly, does resistance to a competent refusal have to yield? They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rPr>
          <w:rStyle w:val="KeyTerm"/>
        </w:rPr>
        <w:t xml:space="preserve">specification</w:t>
      </w:r>
      <w:r>
        <w:t xml:space="preserve"> </w:t>
      </w:r>
      <w:r>
        <w:t xml:space="preserve">and</w:t>
      </w:r>
      <w:r>
        <w:t xml:space="preserve"> </w:t>
      </w:r>
      <w:r>
        <w:rPr>
          <w:rStyle w:val="KeyTerm"/>
        </w:rP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 Two cases were decisive:</w:t>
      </w:r>
    </w:p>
    <w:p>
      <w:pPr>
        <w:pStyle w:val="Compact"/>
        <w:numPr>
          <w:ilvl w:val="0"/>
          <w:numId w:val="1010"/>
        </w:numPr>
      </w:pP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w:t>
      </w:r>
    </w:p>
    <w:p>
      <w:pPr>
        <w:pStyle w:val="Compact"/>
        <w:numPr>
          <w:ilvl w:val="0"/>
          <w:numId w:val="1010"/>
        </w:numPr>
      </w:pP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w:t>
      </w:r>
    </w:p>
    <w:p>
      <w:pPr>
        <w:pStyle w:val="FirstParagraph"/>
      </w:pPr>
      <w:r>
        <w:t xml:space="preserve">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The two cases ran in parallel:</w:t>
      </w:r>
    </w:p>
    <w:p>
      <w:pPr>
        <w:pStyle w:val="Compact"/>
        <w:numPr>
          <w:ilvl w:val="0"/>
          <w:numId w:val="1011"/>
        </w:numPr>
      </w:pPr>
      <w:r>
        <w:t xml:space="preserve">Rubin’s friends, like Dax’s, pleaded that she would not want to live this way.</w:t>
      </w:r>
    </w:p>
    <w:p>
      <w:pPr>
        <w:pStyle w:val="Compact"/>
        <w:numPr>
          <w:ilvl w:val="0"/>
          <w:numId w:val="1011"/>
        </w:numPr>
      </w:pPr>
      <w:r>
        <w:t xml:space="preserve">Her father, like Dax’s mother, consented to treatment.</w:t>
      </w:r>
    </w:p>
    <w:p>
      <w:pPr>
        <w:pStyle w:val="Compact"/>
        <w:numPr>
          <w:ilvl w:val="0"/>
          <w:numId w:val="1011"/>
        </w:numPr>
      </w:pPr>
      <w:r>
        <w:t xml:space="preserve">She was sedated for weeks and could not decide.</w:t>
      </w:r>
    </w:p>
    <w:p>
      <w:pPr>
        <w:pStyle w:val="Compact"/>
        <w:numPr>
          <w:ilvl w:val="0"/>
          <w:numId w:val="1011"/>
        </w:numPr>
      </w:pPr>
      <w:r>
        <w:t xml:space="preserve">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FirstParagraph"/>
      </w:pPr>
      <w:r>
        <w:t xml:space="preserve">Rubin’s case does not refute Cowart.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harder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12"/>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12"/>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12"/>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12"/>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12"/>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13"/>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13"/>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13"/>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13"/>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2026-06-18T17:57:54Z</dcterms:created>
  <dcterms:modified xsi:type="dcterms:W3CDTF">2026-06-18T17:57:54Z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“Please Let Me Die” — a bioethics case study</vt:lpwstr>
  </property>
  <property fmtid="{D5CDD505-2E9C-101B-9397-08002B2CF9AE}" pid="18" name="tbl-cap-location">
    <vt:lpwstr>top</vt:lpwstr>
  </property>
  <property fmtid="{D5CDD505-2E9C-101B-9397-08002B2CF9AE}" pid="19" name="toc-title">
    <vt:lpwstr>Table of contents</vt:lpwstr>
  </property>
</Properties>
</file>