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For decades, assisted-death laws drew their hardest line around a single assumption: that the suffering being relieved was</w:t>
      </w:r>
      <w:r>
        <w:t xml:space="preserve"> </w:t>
      </w:r>
      <w:r>
        <w:rPr>
          <w:i/>
          <w:iCs/>
        </w:rPr>
        <w:t xml:space="preserve">physical</w:t>
      </w:r>
      <w:r>
        <w:t xml:space="preserve"> </w:t>
      </w:r>
      <w:r>
        <w:t xml:space="preserve">and the patient’s judgment was intact. Castillo’s case removes both supports at once. Her suffering was psychiatric, and the very condition that made her eligible — long-standing depression — is one that can distort the will it torments. The dispute is whether a request to die can count as free when the illness invoked to justify it may be the thing producing the request.</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twice voted to extend its system to people whose sole condition is a mental illness. Twice it</w:t>
      </w:r>
      <w:r>
        <w:t xml:space="preserve"> </w:t>
      </w:r>
      <w:r>
        <w:rPr>
          <w:b/>
          <w:bCs/>
        </w:rPr>
        <w:t xml:space="preserve">postponed</w:t>
      </w:r>
      <w:r>
        <w:t xml:space="preserve"> </w:t>
      </w:r>
      <w:r>
        <w:t xml:space="preserve">the change, most recently to 2027.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2026-06-18T17:58:42Z</dcterms:created>
  <dcterms:modified xsi:type="dcterms:W3CDTF">2026-06-18T17:58:42Z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