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Long before Lesné, two quarrels were already running in Alzheimer’s research: whether the amyloid hypothesis had become a paradigm too dominant to question, and whether fraud that fakes no patient data can still harm patients. The Lesné affair forced the two together. The argument it reignited is about what counts as harm, what counts as evidence, and what a research enterprise owes the people who enroll in its trials.</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list price runs to roughly $26,500 per patient. That figure does not include infusion, monitoring MRI, or clinic fees. Medicare Part B now covers the drug for patients meeting its criteria, leaving a 20% coinsurance of about $5,300 a year for anyone without supplemental coverage — a reminder that</w:t>
      </w:r>
      <w:r>
        <w:t xml:space="preserve"> </w:t>
      </w:r>
      <w:r>
        <w:t xml:space="preserve">“covered”</w:t>
      </w:r>
      <w:r>
        <w:t xml:space="preserve"> </w:t>
      </w:r>
      <w:r>
        <w:t xml:space="preserve">and</w:t>
      </w:r>
      <w:r>
        <w:t xml:space="preserve"> </w:t>
      </w:r>
      <w:r>
        <w:t xml:space="preserve">“affordable”</w:t>
      </w:r>
      <w:r>
        <w:t xml:space="preserve"> </w:t>
      </w:r>
      <w:r>
        <w:t xml:space="preserve">are different claims.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2026-08-03T15:13:13Z</dcterms:created>
  <dcterms:modified xsi:type="dcterms:W3CDTF">2026-08-03T15:13:13Z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