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fullest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strongest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 It is no longer hypothetical: Dr. Margaret Carpenter, a New York physician, has been criminally indicted in Louisiana and hit with a six-figure civil judgment in Texas, while New York has refused extradition and, in October 2025, declined to enforce the Texas judgment. One physician is simultaneously a felon, a debtor, and a protected practitioner, depending on which state you ask.</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came into direct conflict with state bans — and the conflict was never resolved. The Supreme Court dismissed</w:t>
      </w:r>
      <w:r>
        <w:t xml:space="preserve"> </w:t>
      </w:r>
      <w:r>
        <w:rPr>
          <w:i/>
          <w:iCs/>
        </w:rPr>
        <w:t xml:space="preserve">Moyle v. United States</w:t>
      </w:r>
      <w:r>
        <w:t xml:space="preserve"> </w:t>
      </w:r>
      <w:r>
        <w:t xml:space="preserve">as improvidently granted in 2024, the federal government dropped the Idaho suit in March 2025, and HHS rescinded its EMTALA emergency-abortion guidance in May 2025. The question was not answered so much as withdrawn, leaving clinicians in ban states with less federal clarity than they had in 2023.</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question that remains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2026-08-03T15:13:17Z</dcterms:created>
  <dcterms:modified xsi:type="dcterms:W3CDTF">2026-08-03T15:13:17Z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