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C754B" w14:textId="45542331" w:rsidR="00D7094E" w:rsidRDefault="007568A7" w:rsidP="004E604E">
      <w:pPr>
        <w:pStyle w:val="Heading1"/>
        <w:spacing w:line="240" w:lineRule="auto"/>
      </w:pPr>
      <w:r>
        <w:t xml:space="preserve">How Should we </w:t>
      </w:r>
      <w:r w:rsidR="0083098E">
        <w:t>Provide</w:t>
      </w:r>
      <w:r>
        <w:t xml:space="preserve"> Health Care?</w:t>
      </w:r>
    </w:p>
    <w:p w14:paraId="491872AE" w14:textId="6AE207CF" w:rsidR="000334AD" w:rsidRPr="0019222A" w:rsidRDefault="00794873" w:rsidP="004E604E">
      <w:pPr>
        <w:spacing w:line="240" w:lineRule="auto"/>
        <w:rPr>
          <w:i/>
        </w:rPr>
      </w:pPr>
      <w:r>
        <w:t>Rich countries have developed a number of different health care models</w:t>
      </w:r>
      <w:r w:rsidR="0019222A">
        <w:rPr>
          <w:rStyle w:val="FootnoteReference"/>
        </w:rPr>
        <w:footnoteReference w:id="1"/>
      </w:r>
      <w:r>
        <w:t>. Here is a brief over</w:t>
      </w:r>
      <w:r w:rsidR="00417A89">
        <w:t>view</w:t>
      </w:r>
      <w:r>
        <w:t xml:space="preserve"> (I have taken the names from TR Reid</w:t>
      </w:r>
      <w:r w:rsidR="00417A89">
        <w:t xml:space="preserve">’s </w:t>
      </w:r>
      <w:r w:rsidR="00417A89">
        <w:rPr>
          <w:i/>
        </w:rPr>
        <w:t>The Healing of America</w:t>
      </w:r>
      <w:r w:rsidR="003A68E1">
        <w:t xml:space="preserve"> </w:t>
      </w:r>
      <w:r w:rsidR="0019222A">
        <w:rPr>
          <w:rStyle w:val="FootnoteReference"/>
        </w:rPr>
        <w:footnoteReference w:id="2"/>
      </w:r>
      <w:r>
        <w:t>)</w:t>
      </w:r>
      <w:r w:rsidR="0019222A">
        <w:t>.</w:t>
      </w:r>
    </w:p>
    <w:p w14:paraId="229CB7B5" w14:textId="4C0D2CA0" w:rsidR="00792D39" w:rsidRDefault="00792D39" w:rsidP="004E604E">
      <w:pPr>
        <w:spacing w:line="240" w:lineRule="auto"/>
      </w:pPr>
      <w:r w:rsidRPr="007D109F">
        <w:rPr>
          <w:b/>
        </w:rPr>
        <w:t>The Beveridge Model.</w:t>
      </w:r>
      <w:r>
        <w:t xml:space="preserve"> In this system, the government uses tax revenues to build and maintain health facilities (such as hospitals or clinics), and to pay the salaries of the medical staff. There may also be (some) private hospitals and non-government health care workers. Health care is treated in much the same way as the US treats defense, policing, or fire-fighting. This system is named after William Beveridge, who helped found the United Kingdom’s National Health Service (NHS). Other </w:t>
      </w:r>
      <w:r w:rsidR="00C06895">
        <w:t>“rich”</w:t>
      </w:r>
      <w:r>
        <w:t xml:space="preserve"> countries</w:t>
      </w:r>
      <w:r w:rsidR="00C06895">
        <w:t xml:space="preserve"> (with a per capita GDP comparable to that of the US)</w:t>
      </w:r>
      <w:r>
        <w:t xml:space="preserve"> that use this system include Spain, Denmark, Norway, New Zealand, and Sweden.</w:t>
      </w:r>
      <w:r w:rsidR="00E76C39">
        <w:t xml:space="preserve"> This system allows the government considerable control over the</w:t>
      </w:r>
      <w:r w:rsidR="004F6685">
        <w:t xml:space="preserve"> prices of drugs and treatments (after</w:t>
      </w:r>
      <w:r w:rsidR="00A13A27">
        <w:t xml:space="preserve"> all</w:t>
      </w:r>
      <w:r w:rsidR="004F6685">
        <w:t>, it purchases nearly all of them!).</w:t>
      </w:r>
    </w:p>
    <w:p w14:paraId="39DFE02C" w14:textId="32356C90" w:rsidR="00222FD5" w:rsidRDefault="00792D39" w:rsidP="004E604E">
      <w:pPr>
        <w:spacing w:line="240" w:lineRule="auto"/>
      </w:pPr>
      <w:r w:rsidRPr="007D109F">
        <w:rPr>
          <w:b/>
        </w:rPr>
        <w:t xml:space="preserve">The </w:t>
      </w:r>
      <w:proofErr w:type="spellStart"/>
      <w:r w:rsidRPr="007D109F">
        <w:rPr>
          <w:b/>
        </w:rPr>
        <w:t>Bismark</w:t>
      </w:r>
      <w:proofErr w:type="spellEnd"/>
      <w:r w:rsidRPr="007D109F">
        <w:rPr>
          <w:b/>
        </w:rPr>
        <w:t xml:space="preserve"> Model. </w:t>
      </w:r>
      <w:r>
        <w:t xml:space="preserve">In this system, </w:t>
      </w:r>
      <w:r w:rsidR="00A13A27">
        <w:t xml:space="preserve">every citizen is </w:t>
      </w:r>
      <w:r w:rsidR="007C28CB">
        <w:t xml:space="preserve">required to </w:t>
      </w:r>
      <w:r>
        <w:t xml:space="preserve">contribute to </w:t>
      </w:r>
      <w:r w:rsidR="00A13A27">
        <w:t xml:space="preserve">non-profit </w:t>
      </w:r>
      <w:r>
        <w:t>insurance</w:t>
      </w:r>
      <w:r w:rsidR="00A13A27">
        <w:t xml:space="preserve"> companies</w:t>
      </w:r>
      <w:r>
        <w:t xml:space="preserve"> (or “sickness funds”), which are used to pay for services at privately owned health care facilities. The government maintains strict control </w:t>
      </w:r>
      <w:r w:rsidR="00E76C39">
        <w:t xml:space="preserve">over </w:t>
      </w:r>
      <w:r>
        <w:t xml:space="preserve">the prices of drugs and </w:t>
      </w:r>
      <w:r w:rsidR="004F6685">
        <w:t>medical treatments</w:t>
      </w:r>
      <w:r>
        <w:t>.</w:t>
      </w:r>
      <w:r w:rsidR="00E76C39">
        <w:t xml:space="preserve"> This system originated in Germany (Otto van </w:t>
      </w:r>
      <w:proofErr w:type="spellStart"/>
      <w:r w:rsidR="00E76C39">
        <w:t>Bismark</w:t>
      </w:r>
      <w:proofErr w:type="spellEnd"/>
      <w:r w:rsidR="00E76C39">
        <w:t xml:space="preserve"> helped create the modern German state, and helped start this policy), a</w:t>
      </w:r>
      <w:r w:rsidR="007C28CB">
        <w:t>nd</w:t>
      </w:r>
      <w:r w:rsidR="00E76C39">
        <w:t xml:space="preserve"> is also used in France, Japan, </w:t>
      </w:r>
      <w:r w:rsidR="00222FD5">
        <w:t xml:space="preserve">and </w:t>
      </w:r>
      <w:r w:rsidR="00E76C39">
        <w:t xml:space="preserve">the Netherlands. </w:t>
      </w:r>
    </w:p>
    <w:p w14:paraId="71405F29" w14:textId="6796431F" w:rsidR="00E76C39" w:rsidRDefault="00E76C39" w:rsidP="004E604E">
      <w:pPr>
        <w:spacing w:line="240" w:lineRule="auto"/>
      </w:pPr>
      <w:r w:rsidRPr="007D109F">
        <w:rPr>
          <w:b/>
        </w:rPr>
        <w:t xml:space="preserve">Switzerland </w:t>
      </w:r>
      <w:r>
        <w:t>has adopted a modified version</w:t>
      </w:r>
      <w:r w:rsidR="00222FD5">
        <w:t xml:space="preserve"> of the </w:t>
      </w:r>
      <w:proofErr w:type="spellStart"/>
      <w:r w:rsidR="00222FD5">
        <w:t>Bismark</w:t>
      </w:r>
      <w:proofErr w:type="spellEnd"/>
      <w:r w:rsidR="00222FD5">
        <w:t xml:space="preserve"> system</w:t>
      </w:r>
      <w:r>
        <w:t xml:space="preserve"> that requires</w:t>
      </w:r>
      <w:r w:rsidR="00A13A27">
        <w:t xml:space="preserve"> (for-profit)</w:t>
      </w:r>
      <w:r>
        <w:t xml:space="preserve"> insurance companies to provide</w:t>
      </w:r>
      <w:r w:rsidR="007C28CB">
        <w:t xml:space="preserve"> universal access to</w:t>
      </w:r>
      <w:r>
        <w:t xml:space="preserve"> </w:t>
      </w:r>
      <w:r w:rsidRPr="007D109F">
        <w:rPr>
          <w:i/>
        </w:rPr>
        <w:t xml:space="preserve">basic </w:t>
      </w:r>
      <w:r>
        <w:t>plans at cost (they can’t make a profit on these plans), but which allows them to sell (and profit from) more comprehensive plans.</w:t>
      </w:r>
      <w:r w:rsidR="00222FD5">
        <w:t xml:space="preserve"> </w:t>
      </w:r>
      <w:r w:rsidR="003B5F14">
        <w:t xml:space="preserve">Obamacare is (partially) modeled after the Swiss </w:t>
      </w:r>
      <w:r w:rsidR="00564201">
        <w:t xml:space="preserve">model, </w:t>
      </w:r>
      <w:r w:rsidR="00222FD5">
        <w:t>except that it allows insurers to make (some) profit off of basic health care plans. The US and Switzerland are similar in that they (1) have low tax rates and (2) have very strong insurance sectors (both of which make adopting other models politically difficult). However, they also (3) have among the highest costs of health care (considering both private and public spending).</w:t>
      </w:r>
    </w:p>
    <w:p w14:paraId="4D8FA1E1" w14:textId="4D4D2D81" w:rsidR="00E76C39" w:rsidRDefault="00E76C39" w:rsidP="004E604E">
      <w:pPr>
        <w:spacing w:line="240" w:lineRule="auto"/>
      </w:pPr>
      <w:r w:rsidRPr="007D109F">
        <w:rPr>
          <w:b/>
        </w:rPr>
        <w:t>The National Health Insurance Model</w:t>
      </w:r>
      <w:r w:rsidR="00C923E1" w:rsidRPr="007D109F">
        <w:rPr>
          <w:b/>
        </w:rPr>
        <w:t xml:space="preserve"> (NHI)</w:t>
      </w:r>
      <w:r w:rsidRPr="007D109F">
        <w:rPr>
          <w:b/>
        </w:rPr>
        <w:t xml:space="preserve">. </w:t>
      </w:r>
      <w:r>
        <w:t>In this system, all citizens are required to pay into government-provided, non-profit health insurance. This is then used to pay private health providers. This system is used in Canada,</w:t>
      </w:r>
      <w:r w:rsidR="00F72018">
        <w:t xml:space="preserve"> Australia,</w:t>
      </w:r>
      <w:r>
        <w:t xml:space="preserve"> South Korea, and Taiwan. Because the government</w:t>
      </w:r>
      <w:r w:rsidR="007C28CB">
        <w:t xml:space="preserve">-run </w:t>
      </w:r>
      <w:r>
        <w:t>insurance</w:t>
      </w:r>
      <w:r w:rsidR="007C28CB">
        <w:t xml:space="preserve"> program</w:t>
      </w:r>
      <w:r>
        <w:t xml:space="preserve"> is the largest purchaser of drugs and treatments, they have considerable control over prices. (This is the primary reason why drugs are often cheaper in Canada than in the US).</w:t>
      </w:r>
    </w:p>
    <w:p w14:paraId="24D792A5" w14:textId="725725B8" w:rsidR="00082615" w:rsidRPr="00082615" w:rsidRDefault="00082615" w:rsidP="004E604E">
      <w:pPr>
        <w:spacing w:line="240" w:lineRule="auto"/>
      </w:pPr>
      <w:r>
        <w:rPr>
          <w:b/>
        </w:rPr>
        <w:t xml:space="preserve">Singapore </w:t>
      </w:r>
      <w:r>
        <w:t xml:space="preserve">has a somewhat unique model of </w:t>
      </w:r>
      <w:r>
        <w:rPr>
          <w:i/>
        </w:rPr>
        <w:t xml:space="preserve">Medisave </w:t>
      </w:r>
      <w:r>
        <w:t xml:space="preserve">(a mandatory health care saving account for “ordinary” health costs), </w:t>
      </w:r>
      <w:proofErr w:type="spellStart"/>
      <w:r>
        <w:rPr>
          <w:i/>
        </w:rPr>
        <w:t>Medishield</w:t>
      </w:r>
      <w:proofErr w:type="spellEnd"/>
      <w:r>
        <w:rPr>
          <w:i/>
        </w:rPr>
        <w:t xml:space="preserve"> </w:t>
      </w:r>
      <w:r>
        <w:t xml:space="preserve">(a mandatory government insurance plan for catastrophic costs), and </w:t>
      </w:r>
      <w:proofErr w:type="spellStart"/>
      <w:r w:rsidR="00E71305">
        <w:rPr>
          <w:i/>
        </w:rPr>
        <w:t>Medifund</w:t>
      </w:r>
      <w:proofErr w:type="spellEnd"/>
      <w:r>
        <w:rPr>
          <w:i/>
        </w:rPr>
        <w:t xml:space="preserve"> </w:t>
      </w:r>
      <w:r>
        <w:t xml:space="preserve">(government support for the poor who </w:t>
      </w:r>
      <w:r w:rsidR="00E71305">
        <w:t>have exhausted their Medisave/</w:t>
      </w:r>
      <w:proofErr w:type="spellStart"/>
      <w:r w:rsidR="00E71305">
        <w:t>Medishield</w:t>
      </w:r>
      <w:proofErr w:type="spellEnd"/>
      <w:r w:rsidR="00E71305">
        <w:t xml:space="preserve"> accounts</w:t>
      </w:r>
      <w:r>
        <w:t>). Singapore has strict government regulations on different “levels” of care (with citizens choosing between fancy “A” level hospitals or bare bones “C” level hospitals</w:t>
      </w:r>
      <w:r w:rsidR="00E71305">
        <w:t xml:space="preserve">; </w:t>
      </w:r>
      <w:proofErr w:type="spellStart"/>
      <w:r w:rsidR="00E71305">
        <w:t>Medifund</w:t>
      </w:r>
      <w:proofErr w:type="spellEnd"/>
      <w:r w:rsidR="00E71305">
        <w:t xml:space="preserve"> will only pay for C-level care</w:t>
      </w:r>
      <w:r>
        <w:t xml:space="preserve">). Singapore is often mentioned by reformers because it seems to get decent results despite spending </w:t>
      </w:r>
      <w:r>
        <w:rPr>
          <w:i/>
        </w:rPr>
        <w:t xml:space="preserve">very </w:t>
      </w:r>
      <w:r>
        <w:t>little on health care (less than $3,000 per capita). However, Singapore is also quite a bit different from nearly any other rich nation: it has a small</w:t>
      </w:r>
      <w:r w:rsidR="009B0ED1">
        <w:t xml:space="preserve"> </w:t>
      </w:r>
      <w:r>
        <w:t xml:space="preserve">population (of around </w:t>
      </w:r>
      <w:r w:rsidR="00E71305">
        <w:t>5 mil, with a large proportion of recent immigrants from other rich countries) all confined to</w:t>
      </w:r>
      <w:r>
        <w:t xml:space="preserve"> one small island</w:t>
      </w:r>
      <w:r w:rsidR="005859C8">
        <w:t>, and it is governed by a significantly less democratic government</w:t>
      </w:r>
      <w:r>
        <w:t>.</w:t>
      </w:r>
      <w:r w:rsidR="00E71305">
        <w:t xml:space="preserve"> </w:t>
      </w:r>
      <w:r w:rsidR="00457BCD">
        <w:t>It is unclear whether this system could be implemented in other rich countrie</w:t>
      </w:r>
      <w:r w:rsidR="00F50CE0">
        <w:t>s</w:t>
      </w:r>
      <w:r w:rsidR="000512CF">
        <w:t>, such as the U.S.</w:t>
      </w:r>
    </w:p>
    <w:p w14:paraId="2B5B5A95" w14:textId="51F4E5D5" w:rsidR="00240A30" w:rsidRDefault="00E76C39" w:rsidP="004E604E">
      <w:pPr>
        <w:spacing w:line="240" w:lineRule="auto"/>
      </w:pPr>
      <w:r w:rsidRPr="007D109F">
        <w:rPr>
          <w:b/>
        </w:rPr>
        <w:t>The Out-of-Pocket Model</w:t>
      </w:r>
      <w:r w:rsidR="00C923E1" w:rsidRPr="007D109F">
        <w:rPr>
          <w:b/>
        </w:rPr>
        <w:t xml:space="preserve"> (O</w:t>
      </w:r>
      <w:r w:rsidR="00564201" w:rsidRPr="007D109F">
        <w:rPr>
          <w:b/>
        </w:rPr>
        <w:t>O</w:t>
      </w:r>
      <w:r w:rsidR="00C923E1" w:rsidRPr="007D109F">
        <w:rPr>
          <w:b/>
        </w:rPr>
        <w:t>P)</w:t>
      </w:r>
      <w:r w:rsidRPr="007D109F">
        <w:rPr>
          <w:b/>
        </w:rPr>
        <w:t xml:space="preserve">. </w:t>
      </w:r>
      <w:r w:rsidR="00E56ED4">
        <w:t xml:space="preserve">This system requires that most </w:t>
      </w:r>
      <w:r>
        <w:t>health care</w:t>
      </w:r>
      <w:r w:rsidR="00E56ED4">
        <w:t xml:space="preserve"> costs</w:t>
      </w:r>
      <w:r>
        <w:t xml:space="preserve"> be paid for by individua</w:t>
      </w:r>
      <w:r w:rsidR="003B5F14">
        <w:t xml:space="preserve">ls </w:t>
      </w:r>
      <w:r>
        <w:t>using private funds. This was the norm in the developed world until the early- to mid-20</w:t>
      </w:r>
      <w:r w:rsidRPr="007D109F">
        <w:rPr>
          <w:vertAlign w:val="superscript"/>
        </w:rPr>
        <w:t>th</w:t>
      </w:r>
      <w:r>
        <w:t xml:space="preserve"> century, when nearly all </w:t>
      </w:r>
      <w:r w:rsidR="000512CF">
        <w:t xml:space="preserve">rich </w:t>
      </w:r>
      <w:r>
        <w:t xml:space="preserve">countries went to one of the models listed above (the US is </w:t>
      </w:r>
      <w:r w:rsidR="0015519A">
        <w:t>a partial</w:t>
      </w:r>
      <w:r>
        <w:t xml:space="preserve"> exception—see </w:t>
      </w:r>
      <w:r w:rsidR="003B5F14">
        <w:t>bel</w:t>
      </w:r>
      <w:r>
        <w:t>ow).</w:t>
      </w:r>
      <w:r w:rsidR="003B5F14">
        <w:t xml:space="preserve"> It is still widely used in the poorest parts of the world, including</w:t>
      </w:r>
      <w:r w:rsidR="00B17AE7">
        <w:t xml:space="preserve"> </w:t>
      </w:r>
      <w:r w:rsidR="00E56ED4">
        <w:t>much of sub-Saharan Afr</w:t>
      </w:r>
      <w:r w:rsidR="00F527DC">
        <w:t xml:space="preserve">ica and </w:t>
      </w:r>
      <w:r w:rsidR="00D71C2E">
        <w:t xml:space="preserve">parts of </w:t>
      </w:r>
      <w:r w:rsidR="00E56ED4">
        <w:t>the Indian subcontinent. It is also used</w:t>
      </w:r>
      <w:r w:rsidR="00B17AE7">
        <w:t xml:space="preserve"> in poor, rural areas of middle-income countries</w:t>
      </w:r>
      <w:r w:rsidR="00F527DC">
        <w:t>, where government health care</w:t>
      </w:r>
      <w:r w:rsidR="00E56ED4">
        <w:t xml:space="preserve"> and/or </w:t>
      </w:r>
      <w:r w:rsidR="00F527DC">
        <w:t>insurance has traditionally been difficult for residents to access</w:t>
      </w:r>
      <w:r w:rsidR="00E56ED4">
        <w:t>.</w:t>
      </w:r>
      <w:r w:rsidR="00F527DC">
        <w:t xml:space="preserve"> </w:t>
      </w:r>
      <w:r w:rsidR="00E56ED4">
        <w:t xml:space="preserve">In recent years, </w:t>
      </w:r>
      <w:r w:rsidR="00F527DC">
        <w:t xml:space="preserve">many </w:t>
      </w:r>
      <w:r w:rsidR="00B17AE7">
        <w:t>middle-income</w:t>
      </w:r>
      <w:r w:rsidR="00F527DC">
        <w:t xml:space="preserve"> countries—especially China, where health coverage for rural residents has quadrupled since the early 2000s—hav</w:t>
      </w:r>
      <w:r w:rsidR="00E56ED4">
        <w:t>e made substantial improvements</w:t>
      </w:r>
      <w:r w:rsidR="00F527DC">
        <w:t>.</w:t>
      </w:r>
    </w:p>
    <w:p w14:paraId="5F69D93F" w14:textId="4A77FBDD" w:rsidR="001D75CF" w:rsidRDefault="003B5F14" w:rsidP="004E604E">
      <w:pPr>
        <w:spacing w:line="240" w:lineRule="auto"/>
      </w:pPr>
      <w:r w:rsidRPr="007D109F">
        <w:rPr>
          <w:b/>
        </w:rPr>
        <w:t xml:space="preserve">The US (Mixed) Model. </w:t>
      </w:r>
      <w:r>
        <w:t>The US has a unique “mix</w:t>
      </w:r>
      <w:r w:rsidR="001D75CF">
        <w:t>ed” model of health care.</w:t>
      </w:r>
    </w:p>
    <w:p w14:paraId="3B13C748" w14:textId="40445C5D" w:rsidR="001D75CF" w:rsidRDefault="001C2EB3" w:rsidP="004E604E">
      <w:pPr>
        <w:pStyle w:val="ListParagraph"/>
        <w:numPr>
          <w:ilvl w:val="0"/>
          <w:numId w:val="5"/>
        </w:numPr>
        <w:spacing w:line="240" w:lineRule="auto"/>
      </w:pPr>
      <w:r w:rsidRPr="007D109F">
        <w:rPr>
          <w:b/>
        </w:rPr>
        <w:t>V</w:t>
      </w:r>
      <w:r w:rsidR="005019AF" w:rsidRPr="007D109F">
        <w:rPr>
          <w:b/>
        </w:rPr>
        <w:t xml:space="preserve">eterans </w:t>
      </w:r>
      <w:r w:rsidRPr="007D109F">
        <w:rPr>
          <w:b/>
        </w:rPr>
        <w:t>A</w:t>
      </w:r>
      <w:r w:rsidR="005019AF" w:rsidRPr="007D109F">
        <w:rPr>
          <w:b/>
        </w:rPr>
        <w:t>dministration</w:t>
      </w:r>
      <w:r w:rsidRPr="007D109F">
        <w:rPr>
          <w:b/>
        </w:rPr>
        <w:t xml:space="preserve">. </w:t>
      </w:r>
      <w:r w:rsidR="003B5F14">
        <w:t xml:space="preserve">Health care for </w:t>
      </w:r>
      <w:r w:rsidR="001D75CF">
        <w:t xml:space="preserve">many </w:t>
      </w:r>
      <w:r w:rsidR="003B5F14">
        <w:t xml:space="preserve">veterans </w:t>
      </w:r>
      <w:r w:rsidR="001D75CF">
        <w:t xml:space="preserve">and their families </w:t>
      </w:r>
      <w:r w:rsidR="003B5F14">
        <w:t xml:space="preserve">is provided by the </w:t>
      </w:r>
      <w:r w:rsidR="001D75CF">
        <w:t>Veterans Administration</w:t>
      </w:r>
      <w:r w:rsidR="003B5F14">
        <w:t xml:space="preserve">, which is </w:t>
      </w:r>
      <w:r w:rsidR="007C28CB">
        <w:t xml:space="preserve">a </w:t>
      </w:r>
      <w:r w:rsidR="003B5F14">
        <w:t>Beveridge-style system (the staf</w:t>
      </w:r>
      <w:r w:rsidR="001D75CF">
        <w:t>f are US government employees, and the government owns the facilities).</w:t>
      </w:r>
    </w:p>
    <w:p w14:paraId="738DF580" w14:textId="52D5BC9E" w:rsidR="001D75CF" w:rsidRDefault="001C2EB3" w:rsidP="004E604E">
      <w:pPr>
        <w:pStyle w:val="ListParagraph"/>
        <w:numPr>
          <w:ilvl w:val="0"/>
          <w:numId w:val="5"/>
        </w:numPr>
        <w:spacing w:line="240" w:lineRule="auto"/>
      </w:pPr>
      <w:r w:rsidRPr="007D109F">
        <w:rPr>
          <w:b/>
        </w:rPr>
        <w:t xml:space="preserve">Employers/Government. </w:t>
      </w:r>
      <w:r w:rsidR="003B5F14">
        <w:t xml:space="preserve">People who have full-time jobs </w:t>
      </w:r>
      <w:r w:rsidR="001D75CF">
        <w:t xml:space="preserve">for mid- or large-sized companies </w:t>
      </w:r>
      <w:r w:rsidR="003B5F14">
        <w:t xml:space="preserve">are given coverage by the </w:t>
      </w:r>
      <w:proofErr w:type="spellStart"/>
      <w:r w:rsidR="003B5F14">
        <w:t>Bismark</w:t>
      </w:r>
      <w:proofErr w:type="spellEnd"/>
      <w:r w:rsidR="003B5F14">
        <w:t xml:space="preserve"> system (joint employer-employee contributions, which are</w:t>
      </w:r>
      <w:r w:rsidR="0015519A">
        <w:t xml:space="preserve"> </w:t>
      </w:r>
      <w:r w:rsidR="003B5F14">
        <w:t>subsidized by government tax benefits</w:t>
      </w:r>
      <w:r w:rsidR="00891579">
        <w:t xml:space="preserve"> if the health care plans chosen</w:t>
      </w:r>
      <w:r w:rsidR="00E93C9D">
        <w:t xml:space="preserve"> meet certain minimal requirements</w:t>
      </w:r>
      <w:r w:rsidR="003B5F14">
        <w:t xml:space="preserve">). </w:t>
      </w:r>
    </w:p>
    <w:p w14:paraId="15E29C91" w14:textId="59DDD974" w:rsidR="001D75CF" w:rsidRDefault="001C2EB3" w:rsidP="004E604E">
      <w:pPr>
        <w:pStyle w:val="ListParagraph"/>
        <w:numPr>
          <w:ilvl w:val="0"/>
          <w:numId w:val="5"/>
        </w:numPr>
        <w:spacing w:line="240" w:lineRule="auto"/>
      </w:pPr>
      <w:r w:rsidRPr="007D109F">
        <w:rPr>
          <w:b/>
        </w:rPr>
        <w:lastRenderedPageBreak/>
        <w:t xml:space="preserve">Medicare/Medicaid. </w:t>
      </w:r>
      <w:r w:rsidR="003B5F14">
        <w:t>P</w:t>
      </w:r>
      <w:r w:rsidR="00891579">
        <w:t>eople over 65 and people with low-income</w:t>
      </w:r>
      <w:r w:rsidR="003B5F14">
        <w:t xml:space="preserve"> are covered by a National Health Insurance system (Medicare and Medicaid); however, the government is not allowed to bargain over dr</w:t>
      </w:r>
      <w:r w:rsidR="00663E78">
        <w:t>ug prices</w:t>
      </w:r>
      <w:r w:rsidR="00CF6962">
        <w:t xml:space="preserve"> (Americans generally pay 1.5 to 3 times as much for drugs as citizens of other </w:t>
      </w:r>
      <w:r w:rsidR="00891579">
        <w:t xml:space="preserve">rich </w:t>
      </w:r>
      <w:r w:rsidR="00CF6962">
        <w:t>countries)</w:t>
      </w:r>
      <w:r w:rsidR="00663E78">
        <w:t xml:space="preserve">. </w:t>
      </w:r>
    </w:p>
    <w:p w14:paraId="1AD3BA0C" w14:textId="0D805735" w:rsidR="00825BBC" w:rsidRDefault="001C2EB3" w:rsidP="004E604E">
      <w:pPr>
        <w:pStyle w:val="ListParagraph"/>
        <w:numPr>
          <w:ilvl w:val="0"/>
          <w:numId w:val="5"/>
        </w:numPr>
        <w:spacing w:line="240" w:lineRule="auto"/>
      </w:pPr>
      <w:r w:rsidRPr="007D109F">
        <w:rPr>
          <w:b/>
        </w:rPr>
        <w:t xml:space="preserve">Uninsured/Underinsured. </w:t>
      </w:r>
      <w:r w:rsidR="001D75CF" w:rsidRPr="001C2EB3">
        <w:t>Th</w:t>
      </w:r>
      <w:r w:rsidR="003B5F14" w:rsidRPr="001C2EB3">
        <w:t xml:space="preserve">e </w:t>
      </w:r>
      <w:r w:rsidR="003B5F14">
        <w:t>out-of-pocket model</w:t>
      </w:r>
      <w:r w:rsidR="001D75CF">
        <w:t xml:space="preserve"> is used by</w:t>
      </w:r>
      <w:r w:rsidR="003B5F14">
        <w:t xml:space="preserve"> part-time </w:t>
      </w:r>
      <w:r w:rsidR="007C28CB">
        <w:t xml:space="preserve">or self-employed </w:t>
      </w:r>
      <w:r w:rsidR="003B5F14">
        <w:t>workers who</w:t>
      </w:r>
      <w:r w:rsidR="007C28CB">
        <w:t xml:space="preserve"> do NOT qualify for Medicare or Medicaid</w:t>
      </w:r>
      <w:r w:rsidR="0064291F">
        <w:t>.</w:t>
      </w:r>
      <w:r w:rsidR="007C28CB">
        <w:t xml:space="preserve"> </w:t>
      </w:r>
      <w:r w:rsidR="004E604E">
        <w:t>The Affordable Care Act (“</w:t>
      </w:r>
      <w:r w:rsidR="00891579">
        <w:t>Obamacare</w:t>
      </w:r>
      <w:r w:rsidR="004E604E">
        <w:t>”)</w:t>
      </w:r>
      <w:r w:rsidR="00891579">
        <w:t xml:space="preserve"> has</w:t>
      </w:r>
      <w:r w:rsidR="007D109F">
        <w:t xml:space="preserve"> helped to reduce this </w:t>
      </w:r>
      <w:proofErr w:type="gramStart"/>
      <w:r w:rsidR="007D109F">
        <w:t>somewhat,  by</w:t>
      </w:r>
      <w:proofErr w:type="gramEnd"/>
      <w:r w:rsidR="007D109F">
        <w:t xml:space="preserve"> creating a system of “exchanges</w:t>
      </w:r>
      <w:r w:rsidR="0073789A">
        <w:t>,” though recent changes to the healthcare law (in 2017) are expected increase this number again.</w:t>
      </w:r>
    </w:p>
    <w:p w14:paraId="787D67A6" w14:textId="4812CA07" w:rsidR="004E604E" w:rsidRDefault="00B17AE7" w:rsidP="004E604E">
      <w:pPr>
        <w:spacing w:line="240" w:lineRule="auto"/>
      </w:pPr>
      <w:r>
        <w:t xml:space="preserve">In the U.S., people in the first three categories are generally HAPPY with their own healthcare (which explains why reform is hard). However, people in the last group are NOT happy, and many studies have found that Americans have considerable anxiety regarding the health care system as a whole (often because they are </w:t>
      </w:r>
      <w:proofErr w:type="gramStart"/>
      <w:r>
        <w:t>worried</w:t>
      </w:r>
      <w:proofErr w:type="gramEnd"/>
      <w:r>
        <w:t xml:space="preserve"> they might lose the coverage they have, they dislike the high costs, etc.).</w:t>
      </w:r>
    </w:p>
    <w:p w14:paraId="60A04938" w14:textId="60FABA39" w:rsidR="00DB4EE5" w:rsidRDefault="00DB4EE5" w:rsidP="004E604E">
      <w:pPr>
        <w:pStyle w:val="Heading2"/>
        <w:spacing w:line="240" w:lineRule="auto"/>
      </w:pPr>
      <w:r>
        <w:t>Which System is Cheapest? Which Gets the Best Results?</w:t>
      </w:r>
    </w:p>
    <w:p w14:paraId="29E19C77" w14:textId="72B581E2" w:rsidR="00DB4EE5" w:rsidRDefault="00CA65A4" w:rsidP="004E604E">
      <w:pPr>
        <w:spacing w:line="240" w:lineRule="auto"/>
      </w:pPr>
      <w:r>
        <w:t xml:space="preserve">A number of large studies </w:t>
      </w:r>
      <w:r w:rsidR="002A675D">
        <w:t xml:space="preserve">have suggested </w:t>
      </w:r>
      <w:r w:rsidR="00CF6962">
        <w:t xml:space="preserve">that the US </w:t>
      </w:r>
      <w:r w:rsidR="005019AF">
        <w:t xml:space="preserve">SPENDS MORE per person </w:t>
      </w:r>
      <w:r w:rsidR="00BA5167">
        <w:t xml:space="preserve">on health care </w:t>
      </w:r>
      <w:r w:rsidR="000827BB">
        <w:t xml:space="preserve">(including taxes, health insurance, and out of pocket costs) </w:t>
      </w:r>
      <w:r w:rsidR="00BA5167">
        <w:t>than do</w:t>
      </w:r>
      <w:r w:rsidR="0064291F">
        <w:t xml:space="preserve"> </w:t>
      </w:r>
      <w:r w:rsidR="00DB4EE5">
        <w:t>other industrial countries</w:t>
      </w:r>
      <w:r w:rsidR="00CF6962">
        <w:t xml:space="preserve"> </w:t>
      </w:r>
      <w:r w:rsidR="005019AF">
        <w:t>and gets WORSE RESULTS</w:t>
      </w:r>
      <w:r w:rsidR="00DB4EE5">
        <w:t>. So, for example, here are some recent statistics on health care spending in rich coun</w:t>
      </w:r>
      <w:r w:rsidR="00C923E1">
        <w:t xml:space="preserve">tries taken from the </w:t>
      </w:r>
      <w:r w:rsidR="00FA6D7E">
        <w:t>OECD</w:t>
      </w:r>
      <w:r w:rsidR="0019222A">
        <w:rPr>
          <w:rStyle w:val="FootnoteReference"/>
        </w:rPr>
        <w:footnoteReference w:id="3"/>
      </w:r>
      <w:r w:rsidR="009C7300">
        <w:t xml:space="preserve"> (</w:t>
      </w:r>
      <w:r w:rsidR="006C4E66">
        <w:t xml:space="preserve">2017 or </w:t>
      </w:r>
      <w:r w:rsidR="009C4787">
        <w:t xml:space="preserve">more recent </w:t>
      </w:r>
      <w:r w:rsidR="006C4E66">
        <w:t>available</w:t>
      </w:r>
      <w:r w:rsidR="00C923E1">
        <w:t>).</w:t>
      </w:r>
      <w:r w:rsidR="00D14A4E">
        <w:t xml:space="preserve"> </w:t>
      </w:r>
      <w:r w:rsidR="002A675D">
        <w:t xml:space="preserve">US citizens also get less face-time with doctors, are discharged from hospitals earlier, and have </w:t>
      </w:r>
      <w:r w:rsidR="00241371">
        <w:t>higher long-term disability rates</w:t>
      </w:r>
      <w:r w:rsidR="00CF6962">
        <w:t xml:space="preserve"> and pre-term birth rates</w:t>
      </w:r>
      <w:r w:rsidR="002A675D">
        <w:t>.</w:t>
      </w:r>
      <w:r w:rsidR="000334AD">
        <w:t xml:space="preserve"> Obamacare seems to have helped a bit with cost (</w:t>
      </w:r>
      <w:r w:rsidR="0073789A">
        <w:t>in recent years, global</w:t>
      </w:r>
      <w:r w:rsidR="000334AD">
        <w:t xml:space="preserve"> healthcare costs continue to increase, but the *rate* of increase has fallen), </w:t>
      </w:r>
      <w:r w:rsidR="00C124D5">
        <w:t>but given the changes over the past few years, it is difficult to project what exactly will happen.</w:t>
      </w:r>
    </w:p>
    <w:tbl>
      <w:tblPr>
        <w:tblStyle w:val="GridTable4-Accent1"/>
        <w:tblW w:w="5000" w:type="pct"/>
        <w:tblLook w:val="04A0" w:firstRow="1" w:lastRow="0" w:firstColumn="1" w:lastColumn="0" w:noHBand="0" w:noVBand="1"/>
      </w:tblPr>
      <w:tblGrid>
        <w:gridCol w:w="1447"/>
        <w:gridCol w:w="1130"/>
        <w:gridCol w:w="1321"/>
        <w:gridCol w:w="1152"/>
        <w:gridCol w:w="930"/>
        <w:gridCol w:w="1323"/>
        <w:gridCol w:w="1178"/>
        <w:gridCol w:w="988"/>
        <w:gridCol w:w="1321"/>
      </w:tblGrid>
      <w:tr w:rsidR="005E7870" w14:paraId="07846E5D" w14:textId="29C389B6" w:rsidTr="005E7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14:paraId="34F8657C" w14:textId="14B7E724" w:rsidR="005E7870" w:rsidRDefault="005E7870" w:rsidP="004E604E">
            <w:pPr>
              <w:pStyle w:val="NoSpacing"/>
            </w:pPr>
            <w:r>
              <w:t>Country</w:t>
            </w:r>
          </w:p>
        </w:tc>
        <w:tc>
          <w:tcPr>
            <w:tcW w:w="523" w:type="pct"/>
          </w:tcPr>
          <w:p w14:paraId="385A26C8" w14:textId="6D374D71" w:rsidR="005E7870" w:rsidRDefault="005E7870" w:rsidP="004E604E">
            <w:pPr>
              <w:pStyle w:val="NoSpacing"/>
              <w:cnfStyle w:val="100000000000" w:firstRow="1" w:lastRow="0" w:firstColumn="0" w:lastColumn="0" w:oddVBand="0" w:evenVBand="0" w:oddHBand="0" w:evenHBand="0" w:firstRowFirstColumn="0" w:firstRowLastColumn="0" w:lastRowFirstColumn="0" w:lastRowLastColumn="0"/>
            </w:pPr>
            <w:r>
              <w:t xml:space="preserve">$/person </w:t>
            </w:r>
          </w:p>
        </w:tc>
        <w:tc>
          <w:tcPr>
            <w:tcW w:w="612" w:type="pct"/>
          </w:tcPr>
          <w:p w14:paraId="758E8D3C" w14:textId="05C6811F" w:rsidR="005E7870" w:rsidRDefault="005E7870" w:rsidP="004E604E">
            <w:pPr>
              <w:pStyle w:val="NoSpacing"/>
              <w:cnfStyle w:val="100000000000" w:firstRow="1" w:lastRow="0" w:firstColumn="0" w:lastColumn="0" w:oddVBand="0" w:evenVBand="0" w:oddHBand="0" w:evenHBand="0" w:firstRowFirstColumn="0" w:firstRowLastColumn="0" w:lastRowFirstColumn="0" w:lastRowLastColumn="0"/>
            </w:pPr>
            <w:r>
              <w:t>Physicians per 1,000</w:t>
            </w:r>
          </w:p>
        </w:tc>
        <w:tc>
          <w:tcPr>
            <w:tcW w:w="534" w:type="pct"/>
          </w:tcPr>
          <w:p w14:paraId="745F05C3" w14:textId="183798FE" w:rsidR="005E7870" w:rsidRDefault="005E7870" w:rsidP="004E604E">
            <w:pPr>
              <w:pStyle w:val="NoSpacing"/>
              <w:cnfStyle w:val="100000000000" w:firstRow="1" w:lastRow="0" w:firstColumn="0" w:lastColumn="0" w:oddVBand="0" w:evenVBand="0" w:oddHBand="0" w:evenHBand="0" w:firstRowFirstColumn="0" w:firstRowLastColumn="0" w:lastRowFirstColumn="0" w:lastRowLastColumn="0"/>
            </w:pPr>
            <w:r>
              <w:t>Hospital beds per 1,000</w:t>
            </w:r>
          </w:p>
        </w:tc>
        <w:tc>
          <w:tcPr>
            <w:tcW w:w="431" w:type="pct"/>
          </w:tcPr>
          <w:p w14:paraId="7C6CF1E9" w14:textId="41624553" w:rsidR="005E7870" w:rsidRDefault="005E7870" w:rsidP="004E604E">
            <w:pPr>
              <w:pStyle w:val="NoSpacing"/>
              <w:cnfStyle w:val="100000000000" w:firstRow="1" w:lastRow="0" w:firstColumn="0" w:lastColumn="0" w:oddVBand="0" w:evenVBand="0" w:oddHBand="0" w:evenHBand="0" w:firstRowFirstColumn="0" w:firstRowLastColumn="0" w:lastRowFirstColumn="0" w:lastRowLastColumn="0"/>
            </w:pPr>
            <w:r>
              <w:t>MRI exams per 1 mil</w:t>
            </w:r>
          </w:p>
        </w:tc>
        <w:tc>
          <w:tcPr>
            <w:tcW w:w="613" w:type="pct"/>
          </w:tcPr>
          <w:p w14:paraId="7A898362" w14:textId="1CED1B05" w:rsidR="005E7870" w:rsidRDefault="005E7870" w:rsidP="004E604E">
            <w:pPr>
              <w:pStyle w:val="NoSpacing"/>
              <w:cnfStyle w:val="100000000000" w:firstRow="1" w:lastRow="0" w:firstColumn="0" w:lastColumn="0" w:oddVBand="0" w:evenVBand="0" w:oddHBand="0" w:evenHBand="0" w:firstRowFirstColumn="0" w:firstRowLastColumn="0" w:lastRowFirstColumn="0" w:lastRowLastColumn="0"/>
            </w:pPr>
            <w:r>
              <w:t>Life expectancy</w:t>
            </w:r>
          </w:p>
        </w:tc>
        <w:tc>
          <w:tcPr>
            <w:tcW w:w="546" w:type="pct"/>
          </w:tcPr>
          <w:p w14:paraId="25054A53" w14:textId="2704BD8C" w:rsidR="005E7870" w:rsidRDefault="005E7870" w:rsidP="004E604E">
            <w:pPr>
              <w:pStyle w:val="NoSpacing"/>
              <w:cnfStyle w:val="100000000000" w:firstRow="1" w:lastRow="0" w:firstColumn="0" w:lastColumn="0" w:oddVBand="0" w:evenVBand="0" w:oddHBand="0" w:evenHBand="0" w:firstRowFirstColumn="0" w:firstRowLastColumn="0" w:lastRowFirstColumn="0" w:lastRowLastColumn="0"/>
            </w:pPr>
            <w:r>
              <w:t>Infant mortality per 1,000</w:t>
            </w:r>
          </w:p>
        </w:tc>
        <w:tc>
          <w:tcPr>
            <w:tcW w:w="458" w:type="pct"/>
          </w:tcPr>
          <w:p w14:paraId="464BB8D6" w14:textId="2947F423" w:rsidR="005E7870" w:rsidRDefault="005E7870" w:rsidP="004E604E">
            <w:pPr>
              <w:pStyle w:val="NoSpacing"/>
              <w:cnfStyle w:val="100000000000" w:firstRow="1" w:lastRow="0" w:firstColumn="0" w:lastColumn="0" w:oddVBand="0" w:evenVBand="0" w:oddHBand="0" w:evenHBand="0" w:firstRowFirstColumn="0" w:firstRowLastColumn="0" w:lastRowFirstColumn="0" w:lastRowLastColumn="0"/>
            </w:pPr>
            <w:r>
              <w:t>Overall Tax Rate</w:t>
            </w:r>
          </w:p>
        </w:tc>
        <w:tc>
          <w:tcPr>
            <w:tcW w:w="612" w:type="pct"/>
          </w:tcPr>
          <w:p w14:paraId="4D86DE83" w14:textId="224EF530" w:rsidR="005E7870" w:rsidRDefault="005E7870" w:rsidP="004E604E">
            <w:pPr>
              <w:pStyle w:val="NoSpacing"/>
              <w:cnfStyle w:val="100000000000" w:firstRow="1" w:lastRow="0" w:firstColumn="0" w:lastColumn="0" w:oddVBand="0" w:evenVBand="0" w:oddHBand="0" w:evenHBand="0" w:firstRowFirstColumn="0" w:firstRowLastColumn="0" w:lastRowFirstColumn="0" w:lastRowLastColumn="0"/>
            </w:pPr>
            <w:r>
              <w:t>Bloomberg Health Ranking*</w:t>
            </w:r>
          </w:p>
        </w:tc>
      </w:tr>
      <w:tr w:rsidR="005E7870" w14:paraId="6D200EB7" w14:textId="52FB2AF2" w:rsidTr="005E7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14:paraId="67EB64DA" w14:textId="77777777" w:rsidR="005E7870" w:rsidRDefault="005E7870" w:rsidP="004E604E">
            <w:pPr>
              <w:pStyle w:val="NoSpacing"/>
            </w:pPr>
            <w:r w:rsidRPr="00E555D6">
              <w:t>Italy</w:t>
            </w:r>
          </w:p>
        </w:tc>
        <w:tc>
          <w:tcPr>
            <w:tcW w:w="523" w:type="pct"/>
          </w:tcPr>
          <w:p w14:paraId="4C88F9B4"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$3542</w:t>
            </w:r>
          </w:p>
        </w:tc>
        <w:tc>
          <w:tcPr>
            <w:tcW w:w="612" w:type="pct"/>
          </w:tcPr>
          <w:p w14:paraId="3DE0478E"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4.0</w:t>
            </w:r>
          </w:p>
        </w:tc>
        <w:tc>
          <w:tcPr>
            <w:tcW w:w="534" w:type="pct"/>
          </w:tcPr>
          <w:p w14:paraId="6025F245"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3.2</w:t>
            </w:r>
          </w:p>
        </w:tc>
        <w:tc>
          <w:tcPr>
            <w:tcW w:w="431" w:type="pct"/>
          </w:tcPr>
          <w:p w14:paraId="2ACC192F"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28.2</w:t>
            </w:r>
          </w:p>
        </w:tc>
        <w:tc>
          <w:tcPr>
            <w:tcW w:w="613" w:type="pct"/>
          </w:tcPr>
          <w:p w14:paraId="72EEEAED"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83.3</w:t>
            </w:r>
          </w:p>
        </w:tc>
        <w:tc>
          <w:tcPr>
            <w:tcW w:w="546" w:type="pct"/>
          </w:tcPr>
          <w:p w14:paraId="52B7718B"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2.8</w:t>
            </w:r>
          </w:p>
        </w:tc>
        <w:tc>
          <w:tcPr>
            <w:tcW w:w="458" w:type="pct"/>
          </w:tcPr>
          <w:p w14:paraId="628BCD9E"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High</w:t>
            </w:r>
          </w:p>
        </w:tc>
        <w:tc>
          <w:tcPr>
            <w:tcW w:w="612" w:type="pct"/>
          </w:tcPr>
          <w:p w14:paraId="08AB73FD" w14:textId="159FB099"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1</w:t>
            </w:r>
          </w:p>
        </w:tc>
      </w:tr>
      <w:tr w:rsidR="005E7870" w14:paraId="754F1267" w14:textId="56E4791E" w:rsidTr="005E7870">
        <w:tc>
          <w:tcPr>
            <w:cnfStyle w:val="001000000000" w:firstRow="0" w:lastRow="0" w:firstColumn="1" w:lastColumn="0" w:oddVBand="0" w:evenVBand="0" w:oddHBand="0" w:evenHBand="0" w:firstRowFirstColumn="0" w:firstRowLastColumn="0" w:lastRowFirstColumn="0" w:lastRowLastColumn="0"/>
            <w:tcW w:w="670" w:type="pct"/>
          </w:tcPr>
          <w:p w14:paraId="01E185C2" w14:textId="77777777" w:rsidR="005E7870" w:rsidRDefault="005E7870" w:rsidP="004E604E">
            <w:pPr>
              <w:pStyle w:val="NoSpacing"/>
            </w:pPr>
            <w:r>
              <w:t xml:space="preserve">New Zealand </w:t>
            </w:r>
          </w:p>
        </w:tc>
        <w:tc>
          <w:tcPr>
            <w:tcW w:w="523" w:type="pct"/>
          </w:tcPr>
          <w:p w14:paraId="43D51FF2"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$3683</w:t>
            </w:r>
          </w:p>
        </w:tc>
        <w:tc>
          <w:tcPr>
            <w:tcW w:w="612" w:type="pct"/>
          </w:tcPr>
          <w:p w14:paraId="623750CB"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3.0</w:t>
            </w:r>
          </w:p>
        </w:tc>
        <w:tc>
          <w:tcPr>
            <w:tcW w:w="534" w:type="pct"/>
          </w:tcPr>
          <w:p w14:paraId="7F237055"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rsidRPr="00860737">
              <w:t>2.</w:t>
            </w:r>
            <w:r>
              <w:t>7</w:t>
            </w:r>
          </w:p>
        </w:tc>
        <w:tc>
          <w:tcPr>
            <w:tcW w:w="431" w:type="pct"/>
          </w:tcPr>
          <w:p w14:paraId="0D995F00"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13.9</w:t>
            </w:r>
          </w:p>
        </w:tc>
        <w:tc>
          <w:tcPr>
            <w:tcW w:w="613" w:type="pct"/>
          </w:tcPr>
          <w:p w14:paraId="4FDE28B0"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81.7</w:t>
            </w:r>
          </w:p>
        </w:tc>
        <w:tc>
          <w:tcPr>
            <w:tcW w:w="546" w:type="pct"/>
          </w:tcPr>
          <w:p w14:paraId="18CBCFCA" w14:textId="77777777" w:rsidR="005E7870" w:rsidRPr="00265596"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5.7</w:t>
            </w:r>
          </w:p>
        </w:tc>
        <w:tc>
          <w:tcPr>
            <w:tcW w:w="458" w:type="pct"/>
          </w:tcPr>
          <w:p w14:paraId="5DEF48C8"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Avg</w:t>
            </w:r>
          </w:p>
        </w:tc>
        <w:tc>
          <w:tcPr>
            <w:tcW w:w="612" w:type="pct"/>
          </w:tcPr>
          <w:p w14:paraId="160747E5" w14:textId="06185CD3"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19</w:t>
            </w:r>
          </w:p>
        </w:tc>
      </w:tr>
      <w:tr w:rsidR="005E7870" w14:paraId="3F8E53CE" w14:textId="6693F879" w:rsidTr="005E7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14:paraId="7581E529" w14:textId="77777777" w:rsidR="005E7870" w:rsidRDefault="005E7870" w:rsidP="004E604E">
            <w:pPr>
              <w:pStyle w:val="NoSpacing"/>
            </w:pPr>
            <w:r w:rsidRPr="00E555D6">
              <w:t>Finland</w:t>
            </w:r>
          </w:p>
        </w:tc>
        <w:tc>
          <w:tcPr>
            <w:tcW w:w="523" w:type="pct"/>
          </w:tcPr>
          <w:p w14:paraId="13415DE4"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$4176</w:t>
            </w:r>
          </w:p>
        </w:tc>
        <w:tc>
          <w:tcPr>
            <w:tcW w:w="612" w:type="pct"/>
          </w:tcPr>
          <w:p w14:paraId="4DBBC161"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rsidRPr="001D64E0">
              <w:t>3.</w:t>
            </w:r>
            <w:r>
              <w:t>2</w:t>
            </w:r>
          </w:p>
        </w:tc>
        <w:tc>
          <w:tcPr>
            <w:tcW w:w="534" w:type="pct"/>
          </w:tcPr>
          <w:p w14:paraId="36F68001"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4.0</w:t>
            </w:r>
          </w:p>
        </w:tc>
        <w:tc>
          <w:tcPr>
            <w:tcW w:w="431" w:type="pct"/>
          </w:tcPr>
          <w:p w14:paraId="29997112"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25.5</w:t>
            </w:r>
          </w:p>
        </w:tc>
        <w:tc>
          <w:tcPr>
            <w:tcW w:w="613" w:type="pct"/>
          </w:tcPr>
          <w:p w14:paraId="7E9376AF"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81.5</w:t>
            </w:r>
          </w:p>
        </w:tc>
        <w:tc>
          <w:tcPr>
            <w:tcW w:w="546" w:type="pct"/>
          </w:tcPr>
          <w:p w14:paraId="7A3D0BC9" w14:textId="77777777" w:rsidR="005E7870" w:rsidRPr="00265596"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1.9</w:t>
            </w:r>
          </w:p>
        </w:tc>
        <w:tc>
          <w:tcPr>
            <w:tcW w:w="458" w:type="pct"/>
          </w:tcPr>
          <w:p w14:paraId="12FA13BC"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High</w:t>
            </w:r>
          </w:p>
        </w:tc>
        <w:tc>
          <w:tcPr>
            <w:tcW w:w="612" w:type="pct"/>
          </w:tcPr>
          <w:p w14:paraId="55B03237" w14:textId="0AFF03F9"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15</w:t>
            </w:r>
          </w:p>
        </w:tc>
      </w:tr>
      <w:tr w:rsidR="005E7870" w14:paraId="4857526C" w14:textId="2E4030E9" w:rsidTr="005E7870">
        <w:tc>
          <w:tcPr>
            <w:cnfStyle w:val="001000000000" w:firstRow="0" w:lastRow="0" w:firstColumn="1" w:lastColumn="0" w:oddVBand="0" w:evenVBand="0" w:oddHBand="0" w:evenHBand="0" w:firstRowFirstColumn="0" w:firstRowLastColumn="0" w:lastRowFirstColumn="0" w:lastRowLastColumn="0"/>
            <w:tcW w:w="670" w:type="pct"/>
          </w:tcPr>
          <w:p w14:paraId="5231E837" w14:textId="77777777" w:rsidR="005E7870" w:rsidRDefault="005E7870" w:rsidP="004E604E">
            <w:pPr>
              <w:pStyle w:val="NoSpacing"/>
            </w:pPr>
            <w:r>
              <w:t>UK</w:t>
            </w:r>
          </w:p>
        </w:tc>
        <w:tc>
          <w:tcPr>
            <w:tcW w:w="523" w:type="pct"/>
          </w:tcPr>
          <w:p w14:paraId="5FA672C6"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$4264</w:t>
            </w:r>
          </w:p>
        </w:tc>
        <w:tc>
          <w:tcPr>
            <w:tcW w:w="612" w:type="pct"/>
          </w:tcPr>
          <w:p w14:paraId="0F8E0C3F"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rsidRPr="001D64E0">
              <w:t>2.8</w:t>
            </w:r>
          </w:p>
        </w:tc>
        <w:tc>
          <w:tcPr>
            <w:tcW w:w="534" w:type="pct"/>
          </w:tcPr>
          <w:p w14:paraId="57787918"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2.6</w:t>
            </w:r>
          </w:p>
        </w:tc>
        <w:tc>
          <w:tcPr>
            <w:tcW w:w="431" w:type="pct"/>
          </w:tcPr>
          <w:p w14:paraId="43CA6E00"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7.2</w:t>
            </w:r>
          </w:p>
        </w:tc>
        <w:tc>
          <w:tcPr>
            <w:tcW w:w="613" w:type="pct"/>
          </w:tcPr>
          <w:p w14:paraId="47EADF80"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81.2</w:t>
            </w:r>
          </w:p>
        </w:tc>
        <w:tc>
          <w:tcPr>
            <w:tcW w:w="546" w:type="pct"/>
          </w:tcPr>
          <w:p w14:paraId="188D01C0" w14:textId="77777777" w:rsidR="005E7870" w:rsidRPr="00265596"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3.8</w:t>
            </w:r>
          </w:p>
        </w:tc>
        <w:tc>
          <w:tcPr>
            <w:tcW w:w="458" w:type="pct"/>
          </w:tcPr>
          <w:p w14:paraId="7488EAD4"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Avg</w:t>
            </w:r>
          </w:p>
        </w:tc>
        <w:tc>
          <w:tcPr>
            <w:tcW w:w="612" w:type="pct"/>
          </w:tcPr>
          <w:p w14:paraId="6FA11C0E" w14:textId="0D6C126E"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23</w:t>
            </w:r>
          </w:p>
        </w:tc>
      </w:tr>
      <w:tr w:rsidR="005E7870" w14:paraId="1B419EE2" w14:textId="5459FFEB" w:rsidTr="005E7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14:paraId="5901C25D" w14:textId="77777777" w:rsidR="005E7870" w:rsidRDefault="005E7870" w:rsidP="004E604E">
            <w:pPr>
              <w:pStyle w:val="NoSpacing"/>
            </w:pPr>
            <w:r w:rsidRPr="00E555D6">
              <w:t>Australia</w:t>
            </w:r>
          </w:p>
        </w:tc>
        <w:tc>
          <w:tcPr>
            <w:tcW w:w="523" w:type="pct"/>
          </w:tcPr>
          <w:p w14:paraId="338A4E6A"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$4543</w:t>
            </w:r>
          </w:p>
        </w:tc>
        <w:tc>
          <w:tcPr>
            <w:tcW w:w="612" w:type="pct"/>
          </w:tcPr>
          <w:p w14:paraId="5BEF102C"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3.6</w:t>
            </w:r>
          </w:p>
        </w:tc>
        <w:tc>
          <w:tcPr>
            <w:tcW w:w="534" w:type="pct"/>
          </w:tcPr>
          <w:p w14:paraId="7D4C55C0"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3.8</w:t>
            </w:r>
          </w:p>
        </w:tc>
        <w:tc>
          <w:tcPr>
            <w:tcW w:w="431" w:type="pct"/>
          </w:tcPr>
          <w:p w14:paraId="7482AAEC"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14.3</w:t>
            </w:r>
          </w:p>
        </w:tc>
        <w:tc>
          <w:tcPr>
            <w:tcW w:w="613" w:type="pct"/>
          </w:tcPr>
          <w:p w14:paraId="53E40975"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82.5</w:t>
            </w:r>
          </w:p>
        </w:tc>
        <w:tc>
          <w:tcPr>
            <w:tcW w:w="546" w:type="pct"/>
          </w:tcPr>
          <w:p w14:paraId="6E4BB2BB" w14:textId="77777777" w:rsidR="005E7870" w:rsidRPr="00265596"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3.1</w:t>
            </w:r>
          </w:p>
        </w:tc>
        <w:tc>
          <w:tcPr>
            <w:tcW w:w="458" w:type="pct"/>
          </w:tcPr>
          <w:p w14:paraId="691498FB"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Low</w:t>
            </w:r>
          </w:p>
        </w:tc>
        <w:tc>
          <w:tcPr>
            <w:tcW w:w="612" w:type="pct"/>
          </w:tcPr>
          <w:p w14:paraId="1BBBC9A4" w14:textId="060BC3EE"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5</w:t>
            </w:r>
          </w:p>
        </w:tc>
      </w:tr>
      <w:tr w:rsidR="005E7870" w14:paraId="1BE33117" w14:textId="45658AA5" w:rsidTr="005E7870">
        <w:tc>
          <w:tcPr>
            <w:cnfStyle w:val="001000000000" w:firstRow="0" w:lastRow="0" w:firstColumn="1" w:lastColumn="0" w:oddVBand="0" w:evenVBand="0" w:oddHBand="0" w:evenHBand="0" w:firstRowFirstColumn="0" w:firstRowLastColumn="0" w:lastRowFirstColumn="0" w:lastRowLastColumn="0"/>
            <w:tcW w:w="670" w:type="pct"/>
          </w:tcPr>
          <w:p w14:paraId="3F790969" w14:textId="77777777" w:rsidR="005E7870" w:rsidRDefault="005E7870" w:rsidP="004E604E">
            <w:pPr>
              <w:pStyle w:val="NoSpacing"/>
            </w:pPr>
            <w:r w:rsidRPr="00E555D6">
              <w:t>Japan</w:t>
            </w:r>
          </w:p>
        </w:tc>
        <w:tc>
          <w:tcPr>
            <w:tcW w:w="523" w:type="pct"/>
          </w:tcPr>
          <w:p w14:paraId="216ADBA9"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$4717</w:t>
            </w:r>
          </w:p>
        </w:tc>
        <w:tc>
          <w:tcPr>
            <w:tcW w:w="612" w:type="pct"/>
          </w:tcPr>
          <w:p w14:paraId="1B79A60F"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2.4</w:t>
            </w:r>
          </w:p>
        </w:tc>
        <w:tc>
          <w:tcPr>
            <w:tcW w:w="534" w:type="pct"/>
          </w:tcPr>
          <w:p w14:paraId="24E441C0"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rsidRPr="00860737">
              <w:t>13.</w:t>
            </w:r>
            <w:r>
              <w:t>1</w:t>
            </w:r>
          </w:p>
        </w:tc>
        <w:tc>
          <w:tcPr>
            <w:tcW w:w="431" w:type="pct"/>
          </w:tcPr>
          <w:p w14:paraId="63BB3458"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51.7</w:t>
            </w:r>
          </w:p>
        </w:tc>
        <w:tc>
          <w:tcPr>
            <w:tcW w:w="613" w:type="pct"/>
          </w:tcPr>
          <w:p w14:paraId="1FD40CC1"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84.1</w:t>
            </w:r>
          </w:p>
        </w:tc>
        <w:tc>
          <w:tcPr>
            <w:tcW w:w="546" w:type="pct"/>
          </w:tcPr>
          <w:p w14:paraId="24FA1A76" w14:textId="77777777" w:rsidR="005E7870" w:rsidRPr="00265596"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2.0</w:t>
            </w:r>
          </w:p>
        </w:tc>
        <w:tc>
          <w:tcPr>
            <w:tcW w:w="458" w:type="pct"/>
          </w:tcPr>
          <w:p w14:paraId="29D5EC3F"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Low</w:t>
            </w:r>
          </w:p>
        </w:tc>
        <w:tc>
          <w:tcPr>
            <w:tcW w:w="612" w:type="pct"/>
          </w:tcPr>
          <w:p w14:paraId="6384C451" w14:textId="0C683D42"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7</w:t>
            </w:r>
          </w:p>
        </w:tc>
      </w:tr>
      <w:tr w:rsidR="005E7870" w14:paraId="735BFE4B" w14:textId="2975CFEB" w:rsidTr="005E7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14:paraId="75DF1200" w14:textId="77777777" w:rsidR="005E7870" w:rsidRDefault="005E7870" w:rsidP="004E604E">
            <w:pPr>
              <w:pStyle w:val="NoSpacing"/>
            </w:pPr>
            <w:r w:rsidRPr="00E555D6">
              <w:t>Canada</w:t>
            </w:r>
          </w:p>
        </w:tc>
        <w:tc>
          <w:tcPr>
            <w:tcW w:w="523" w:type="pct"/>
          </w:tcPr>
          <w:p w14:paraId="09C27141"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w:t>
            </w:r>
            <w:r w:rsidRPr="00720A30">
              <w:t>4</w:t>
            </w:r>
            <w:r>
              <w:t>826</w:t>
            </w:r>
          </w:p>
        </w:tc>
        <w:tc>
          <w:tcPr>
            <w:tcW w:w="612" w:type="pct"/>
          </w:tcPr>
          <w:p w14:paraId="037F89C8"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rsidRPr="001D64E0">
              <w:t>2.</w:t>
            </w:r>
            <w:r>
              <w:t>6</w:t>
            </w:r>
          </w:p>
        </w:tc>
        <w:tc>
          <w:tcPr>
            <w:tcW w:w="534" w:type="pct"/>
          </w:tcPr>
          <w:p w14:paraId="4ED575DA"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2.6</w:t>
            </w:r>
          </w:p>
        </w:tc>
        <w:tc>
          <w:tcPr>
            <w:tcW w:w="431" w:type="pct"/>
          </w:tcPr>
          <w:p w14:paraId="6E170EE0"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9.5</w:t>
            </w:r>
          </w:p>
        </w:tc>
        <w:tc>
          <w:tcPr>
            <w:tcW w:w="613" w:type="pct"/>
          </w:tcPr>
          <w:p w14:paraId="05A289AF"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81.9</w:t>
            </w:r>
          </w:p>
        </w:tc>
        <w:tc>
          <w:tcPr>
            <w:tcW w:w="546" w:type="pct"/>
          </w:tcPr>
          <w:p w14:paraId="4788BE0A" w14:textId="77777777" w:rsidR="005E7870" w:rsidRPr="00265596"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4.7</w:t>
            </w:r>
          </w:p>
        </w:tc>
        <w:tc>
          <w:tcPr>
            <w:tcW w:w="458" w:type="pct"/>
          </w:tcPr>
          <w:p w14:paraId="63EF59B3"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Low-Avg</w:t>
            </w:r>
          </w:p>
        </w:tc>
        <w:tc>
          <w:tcPr>
            <w:tcW w:w="612" w:type="pct"/>
          </w:tcPr>
          <w:p w14:paraId="27B64470" w14:textId="0253372E"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17</w:t>
            </w:r>
          </w:p>
        </w:tc>
      </w:tr>
      <w:tr w:rsidR="005E7870" w14:paraId="3B443B01" w14:textId="4C6DB143" w:rsidTr="005E7870">
        <w:tc>
          <w:tcPr>
            <w:cnfStyle w:val="001000000000" w:firstRow="0" w:lastRow="0" w:firstColumn="1" w:lastColumn="0" w:oddVBand="0" w:evenVBand="0" w:oddHBand="0" w:evenHBand="0" w:firstRowFirstColumn="0" w:firstRowLastColumn="0" w:lastRowFirstColumn="0" w:lastRowLastColumn="0"/>
            <w:tcW w:w="670" w:type="pct"/>
          </w:tcPr>
          <w:p w14:paraId="2B37815A" w14:textId="77777777" w:rsidR="005E7870" w:rsidRDefault="005E7870" w:rsidP="004E604E">
            <w:pPr>
              <w:pStyle w:val="NoSpacing"/>
            </w:pPr>
            <w:r w:rsidRPr="00E555D6">
              <w:t>France</w:t>
            </w:r>
          </w:p>
        </w:tc>
        <w:tc>
          <w:tcPr>
            <w:tcW w:w="523" w:type="pct"/>
          </w:tcPr>
          <w:p w14:paraId="0B6A2826"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w:t>
            </w:r>
            <w:r w:rsidRPr="00720A30">
              <w:t>4</w:t>
            </w:r>
            <w:r>
              <w:t>902</w:t>
            </w:r>
          </w:p>
        </w:tc>
        <w:tc>
          <w:tcPr>
            <w:tcW w:w="612" w:type="pct"/>
          </w:tcPr>
          <w:p w14:paraId="0292F41A"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rsidRPr="001D64E0">
              <w:t>3.</w:t>
            </w:r>
            <w:r>
              <w:t>1</w:t>
            </w:r>
          </w:p>
        </w:tc>
        <w:tc>
          <w:tcPr>
            <w:tcW w:w="534" w:type="pct"/>
          </w:tcPr>
          <w:p w14:paraId="5AAB490F"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rsidRPr="00860737">
              <w:t>6.</w:t>
            </w:r>
            <w:r>
              <w:t>1</w:t>
            </w:r>
          </w:p>
        </w:tc>
        <w:tc>
          <w:tcPr>
            <w:tcW w:w="431" w:type="pct"/>
          </w:tcPr>
          <w:p w14:paraId="781EA674"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13.5</w:t>
            </w:r>
          </w:p>
        </w:tc>
        <w:tc>
          <w:tcPr>
            <w:tcW w:w="613" w:type="pct"/>
          </w:tcPr>
          <w:p w14:paraId="4AE4B776"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82.4</w:t>
            </w:r>
          </w:p>
        </w:tc>
        <w:tc>
          <w:tcPr>
            <w:tcW w:w="546" w:type="pct"/>
          </w:tcPr>
          <w:p w14:paraId="435F0581" w14:textId="77777777" w:rsidR="005E7870" w:rsidRPr="00265596"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3.7</w:t>
            </w:r>
          </w:p>
        </w:tc>
        <w:tc>
          <w:tcPr>
            <w:tcW w:w="458" w:type="pct"/>
          </w:tcPr>
          <w:p w14:paraId="2F630553"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High</w:t>
            </w:r>
          </w:p>
        </w:tc>
        <w:tc>
          <w:tcPr>
            <w:tcW w:w="612" w:type="pct"/>
          </w:tcPr>
          <w:p w14:paraId="27363EE5" w14:textId="24717899"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14</w:t>
            </w:r>
          </w:p>
        </w:tc>
      </w:tr>
      <w:tr w:rsidR="005E7870" w14:paraId="13B8A666" w14:textId="7D1F769A" w:rsidTr="005E7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14:paraId="43985953" w14:textId="77777777" w:rsidR="005E7870" w:rsidRDefault="005E7870" w:rsidP="004E604E">
            <w:pPr>
              <w:pStyle w:val="NoSpacing"/>
            </w:pPr>
            <w:r w:rsidRPr="00E555D6">
              <w:t>Denmark</w:t>
            </w:r>
          </w:p>
        </w:tc>
        <w:tc>
          <w:tcPr>
            <w:tcW w:w="523" w:type="pct"/>
          </w:tcPr>
          <w:p w14:paraId="46A79553"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$5183</w:t>
            </w:r>
          </w:p>
        </w:tc>
        <w:tc>
          <w:tcPr>
            <w:tcW w:w="612" w:type="pct"/>
          </w:tcPr>
          <w:p w14:paraId="261878A1"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3.7</w:t>
            </w:r>
          </w:p>
        </w:tc>
        <w:tc>
          <w:tcPr>
            <w:tcW w:w="534" w:type="pct"/>
          </w:tcPr>
          <w:p w14:paraId="13D88C69"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2.6</w:t>
            </w:r>
          </w:p>
        </w:tc>
        <w:tc>
          <w:tcPr>
            <w:tcW w:w="431" w:type="pct"/>
          </w:tcPr>
          <w:p w14:paraId="758F5C67"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w:t>
            </w:r>
          </w:p>
        </w:tc>
        <w:tc>
          <w:tcPr>
            <w:tcW w:w="613" w:type="pct"/>
          </w:tcPr>
          <w:p w14:paraId="17D8C778"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80.9</w:t>
            </w:r>
          </w:p>
        </w:tc>
        <w:tc>
          <w:tcPr>
            <w:tcW w:w="546" w:type="pct"/>
          </w:tcPr>
          <w:p w14:paraId="7268F75F" w14:textId="77777777" w:rsidR="005E7870" w:rsidRPr="00265596"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3.1</w:t>
            </w:r>
          </w:p>
        </w:tc>
        <w:tc>
          <w:tcPr>
            <w:tcW w:w="458" w:type="pct"/>
          </w:tcPr>
          <w:p w14:paraId="3FE6DADE"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High</w:t>
            </w:r>
          </w:p>
        </w:tc>
        <w:tc>
          <w:tcPr>
            <w:tcW w:w="612" w:type="pct"/>
          </w:tcPr>
          <w:p w14:paraId="3B15EBC8" w14:textId="2F24FD20"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28</w:t>
            </w:r>
          </w:p>
        </w:tc>
      </w:tr>
      <w:tr w:rsidR="005E7870" w14:paraId="18F9CD51" w14:textId="4450D8E3" w:rsidTr="005E7870">
        <w:tc>
          <w:tcPr>
            <w:cnfStyle w:val="001000000000" w:firstRow="0" w:lastRow="0" w:firstColumn="1" w:lastColumn="0" w:oddVBand="0" w:evenVBand="0" w:oddHBand="0" w:evenHBand="0" w:firstRowFirstColumn="0" w:firstRowLastColumn="0" w:lastRowFirstColumn="0" w:lastRowLastColumn="0"/>
            <w:tcW w:w="670" w:type="pct"/>
          </w:tcPr>
          <w:p w14:paraId="2DD43FE4" w14:textId="77777777" w:rsidR="005E7870" w:rsidRDefault="005E7870" w:rsidP="004E604E">
            <w:pPr>
              <w:pStyle w:val="NoSpacing"/>
            </w:pPr>
            <w:r w:rsidRPr="00E555D6">
              <w:t>Sweden</w:t>
            </w:r>
          </w:p>
        </w:tc>
        <w:tc>
          <w:tcPr>
            <w:tcW w:w="523" w:type="pct"/>
          </w:tcPr>
          <w:p w14:paraId="42A3E771"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$5511</w:t>
            </w:r>
          </w:p>
        </w:tc>
        <w:tc>
          <w:tcPr>
            <w:tcW w:w="612" w:type="pct"/>
          </w:tcPr>
          <w:p w14:paraId="24F2BD2F"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4.3</w:t>
            </w:r>
          </w:p>
        </w:tc>
        <w:tc>
          <w:tcPr>
            <w:tcW w:w="534" w:type="pct"/>
          </w:tcPr>
          <w:p w14:paraId="0F507378"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rsidRPr="00860737">
              <w:t>2.</w:t>
            </w:r>
            <w:r>
              <w:t>3</w:t>
            </w:r>
          </w:p>
        </w:tc>
        <w:tc>
          <w:tcPr>
            <w:tcW w:w="431" w:type="pct"/>
          </w:tcPr>
          <w:p w14:paraId="1C6A6956"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15.7</w:t>
            </w:r>
          </w:p>
        </w:tc>
        <w:tc>
          <w:tcPr>
            <w:tcW w:w="613" w:type="pct"/>
          </w:tcPr>
          <w:p w14:paraId="3957B832"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82.4</w:t>
            </w:r>
          </w:p>
        </w:tc>
        <w:tc>
          <w:tcPr>
            <w:tcW w:w="546" w:type="pct"/>
          </w:tcPr>
          <w:p w14:paraId="75423997" w14:textId="77777777" w:rsidR="005E7870" w:rsidRPr="00265596"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2.5</w:t>
            </w:r>
          </w:p>
        </w:tc>
        <w:tc>
          <w:tcPr>
            <w:tcW w:w="458" w:type="pct"/>
          </w:tcPr>
          <w:p w14:paraId="08A8577C"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High</w:t>
            </w:r>
          </w:p>
        </w:tc>
        <w:tc>
          <w:tcPr>
            <w:tcW w:w="612" w:type="pct"/>
          </w:tcPr>
          <w:p w14:paraId="6C9D67C2" w14:textId="390F8BFE"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8</w:t>
            </w:r>
          </w:p>
        </w:tc>
      </w:tr>
      <w:tr w:rsidR="005E7870" w14:paraId="7CB4AB0E" w14:textId="2B6EBA51" w:rsidTr="005E7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14:paraId="42466987" w14:textId="77777777" w:rsidR="005E7870" w:rsidRDefault="005E7870" w:rsidP="004E604E">
            <w:pPr>
              <w:pStyle w:val="NoSpacing"/>
            </w:pPr>
            <w:r w:rsidRPr="00E555D6">
              <w:t>Germany</w:t>
            </w:r>
          </w:p>
        </w:tc>
        <w:tc>
          <w:tcPr>
            <w:tcW w:w="523" w:type="pct"/>
          </w:tcPr>
          <w:p w14:paraId="224B365D"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$5728</w:t>
            </w:r>
          </w:p>
        </w:tc>
        <w:tc>
          <w:tcPr>
            <w:tcW w:w="612" w:type="pct"/>
          </w:tcPr>
          <w:p w14:paraId="3A714ADA"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4.2</w:t>
            </w:r>
          </w:p>
        </w:tc>
        <w:tc>
          <w:tcPr>
            <w:tcW w:w="534" w:type="pct"/>
          </w:tcPr>
          <w:p w14:paraId="27516876"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rsidRPr="00860737">
              <w:t>8.</w:t>
            </w:r>
            <w:r>
              <w:t>1</w:t>
            </w:r>
          </w:p>
        </w:tc>
        <w:tc>
          <w:tcPr>
            <w:tcW w:w="431" w:type="pct"/>
          </w:tcPr>
          <w:p w14:paraId="7921337B"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34.5</w:t>
            </w:r>
          </w:p>
        </w:tc>
        <w:tc>
          <w:tcPr>
            <w:tcW w:w="613" w:type="pct"/>
          </w:tcPr>
          <w:p w14:paraId="09C0F3DE"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81.1</w:t>
            </w:r>
          </w:p>
        </w:tc>
        <w:tc>
          <w:tcPr>
            <w:tcW w:w="546" w:type="pct"/>
          </w:tcPr>
          <w:p w14:paraId="4A583AA1" w14:textId="77777777" w:rsidR="005E7870" w:rsidRPr="00265596"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3.4</w:t>
            </w:r>
          </w:p>
        </w:tc>
        <w:tc>
          <w:tcPr>
            <w:tcW w:w="458" w:type="pct"/>
          </w:tcPr>
          <w:p w14:paraId="35CE080F"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High-Avg</w:t>
            </w:r>
          </w:p>
        </w:tc>
        <w:tc>
          <w:tcPr>
            <w:tcW w:w="612" w:type="pct"/>
          </w:tcPr>
          <w:p w14:paraId="51EE751D" w14:textId="05EE9CEB"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16</w:t>
            </w:r>
          </w:p>
        </w:tc>
      </w:tr>
      <w:tr w:rsidR="005E7870" w14:paraId="3DC928D6" w14:textId="15C5D12A" w:rsidTr="005E7870">
        <w:tc>
          <w:tcPr>
            <w:cnfStyle w:val="001000000000" w:firstRow="0" w:lastRow="0" w:firstColumn="1" w:lastColumn="0" w:oddVBand="0" w:evenVBand="0" w:oddHBand="0" w:evenHBand="0" w:firstRowFirstColumn="0" w:firstRowLastColumn="0" w:lastRowFirstColumn="0" w:lastRowLastColumn="0"/>
            <w:tcW w:w="670" w:type="pct"/>
          </w:tcPr>
          <w:p w14:paraId="3A133DAF" w14:textId="77777777" w:rsidR="005E7870" w:rsidRDefault="005E7870" w:rsidP="004E604E">
            <w:pPr>
              <w:pStyle w:val="NoSpacing"/>
            </w:pPr>
            <w:r w:rsidRPr="00E555D6">
              <w:t>Netherlands</w:t>
            </w:r>
          </w:p>
        </w:tc>
        <w:tc>
          <w:tcPr>
            <w:tcW w:w="523" w:type="pct"/>
          </w:tcPr>
          <w:p w14:paraId="0F323752"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$6351</w:t>
            </w:r>
          </w:p>
        </w:tc>
        <w:tc>
          <w:tcPr>
            <w:tcW w:w="612" w:type="pct"/>
          </w:tcPr>
          <w:p w14:paraId="148108FA"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3.5</w:t>
            </w:r>
          </w:p>
        </w:tc>
        <w:tc>
          <w:tcPr>
            <w:tcW w:w="534" w:type="pct"/>
          </w:tcPr>
          <w:p w14:paraId="35421D89"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3.6</w:t>
            </w:r>
          </w:p>
        </w:tc>
        <w:tc>
          <w:tcPr>
            <w:tcW w:w="431" w:type="pct"/>
          </w:tcPr>
          <w:p w14:paraId="4473EBE2"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12.8</w:t>
            </w:r>
          </w:p>
        </w:tc>
        <w:tc>
          <w:tcPr>
            <w:tcW w:w="613" w:type="pct"/>
          </w:tcPr>
          <w:p w14:paraId="2E2D1226"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816</w:t>
            </w:r>
          </w:p>
        </w:tc>
        <w:tc>
          <w:tcPr>
            <w:tcW w:w="546" w:type="pct"/>
          </w:tcPr>
          <w:p w14:paraId="121DF581" w14:textId="77777777" w:rsidR="005E7870" w:rsidRPr="00265596"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3.5</w:t>
            </w:r>
          </w:p>
        </w:tc>
        <w:tc>
          <w:tcPr>
            <w:tcW w:w="458" w:type="pct"/>
          </w:tcPr>
          <w:p w14:paraId="22600419"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High</w:t>
            </w:r>
          </w:p>
        </w:tc>
        <w:tc>
          <w:tcPr>
            <w:tcW w:w="612" w:type="pct"/>
          </w:tcPr>
          <w:p w14:paraId="60F6056F" w14:textId="4FFDBBAC"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13</w:t>
            </w:r>
          </w:p>
        </w:tc>
      </w:tr>
      <w:tr w:rsidR="005E7870" w14:paraId="71331008" w14:textId="62592BD2" w:rsidTr="005E7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14:paraId="6930741B" w14:textId="77777777" w:rsidR="005E7870" w:rsidRDefault="005E7870" w:rsidP="004E604E">
            <w:pPr>
              <w:pStyle w:val="NoSpacing"/>
            </w:pPr>
            <w:r w:rsidRPr="00E555D6">
              <w:t>Norway</w:t>
            </w:r>
          </w:p>
        </w:tc>
        <w:tc>
          <w:tcPr>
            <w:tcW w:w="523" w:type="pct"/>
          </w:tcPr>
          <w:p w14:paraId="02E30BE6"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$6351</w:t>
            </w:r>
          </w:p>
        </w:tc>
        <w:tc>
          <w:tcPr>
            <w:tcW w:w="612" w:type="pct"/>
          </w:tcPr>
          <w:p w14:paraId="5B4C3318"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4.5</w:t>
            </w:r>
          </w:p>
        </w:tc>
        <w:tc>
          <w:tcPr>
            <w:tcW w:w="534" w:type="pct"/>
          </w:tcPr>
          <w:p w14:paraId="155116EF"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rsidRPr="00860737">
              <w:t>3.</w:t>
            </w:r>
            <w:r>
              <w:t>7</w:t>
            </w:r>
          </w:p>
        </w:tc>
        <w:tc>
          <w:tcPr>
            <w:tcW w:w="431" w:type="pct"/>
          </w:tcPr>
          <w:p w14:paraId="62E998ED"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rsidRPr="009027B1">
              <w:t>..</w:t>
            </w:r>
          </w:p>
        </w:tc>
        <w:tc>
          <w:tcPr>
            <w:tcW w:w="613" w:type="pct"/>
          </w:tcPr>
          <w:p w14:paraId="369CAE97"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82.5</w:t>
            </w:r>
          </w:p>
        </w:tc>
        <w:tc>
          <w:tcPr>
            <w:tcW w:w="546" w:type="pct"/>
          </w:tcPr>
          <w:p w14:paraId="33E29F50" w14:textId="77777777" w:rsidR="005E7870" w:rsidRPr="00265596"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2.2</w:t>
            </w:r>
          </w:p>
        </w:tc>
        <w:tc>
          <w:tcPr>
            <w:tcW w:w="458" w:type="pct"/>
          </w:tcPr>
          <w:p w14:paraId="18068C58"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High-Avg</w:t>
            </w:r>
          </w:p>
        </w:tc>
        <w:tc>
          <w:tcPr>
            <w:tcW w:w="612" w:type="pct"/>
          </w:tcPr>
          <w:p w14:paraId="11F2F6C0" w14:textId="5C3EDCC5"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11</w:t>
            </w:r>
          </w:p>
        </w:tc>
      </w:tr>
      <w:tr w:rsidR="005E7870" w14:paraId="092F9E09" w14:textId="3DDC3874" w:rsidTr="005E7870">
        <w:tc>
          <w:tcPr>
            <w:cnfStyle w:val="001000000000" w:firstRow="0" w:lastRow="0" w:firstColumn="1" w:lastColumn="0" w:oddVBand="0" w:evenVBand="0" w:oddHBand="0" w:evenHBand="0" w:firstRowFirstColumn="0" w:firstRowLastColumn="0" w:lastRowFirstColumn="0" w:lastRowLastColumn="0"/>
            <w:tcW w:w="670" w:type="pct"/>
          </w:tcPr>
          <w:p w14:paraId="4EFB0069" w14:textId="77777777" w:rsidR="005E7870" w:rsidRDefault="005E7870" w:rsidP="004E604E">
            <w:pPr>
              <w:pStyle w:val="NoSpacing"/>
            </w:pPr>
            <w:r w:rsidRPr="00E555D6">
              <w:t>Switzerland</w:t>
            </w:r>
          </w:p>
        </w:tc>
        <w:tc>
          <w:tcPr>
            <w:tcW w:w="523" w:type="pct"/>
          </w:tcPr>
          <w:p w14:paraId="0E4B9F94"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$8009</w:t>
            </w:r>
          </w:p>
        </w:tc>
        <w:tc>
          <w:tcPr>
            <w:tcW w:w="612" w:type="pct"/>
          </w:tcPr>
          <w:p w14:paraId="0635A5AB"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4.3</w:t>
            </w:r>
          </w:p>
        </w:tc>
        <w:tc>
          <w:tcPr>
            <w:tcW w:w="534" w:type="pct"/>
          </w:tcPr>
          <w:p w14:paraId="53214DBD"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rsidRPr="00860737">
              <w:t>4.</w:t>
            </w:r>
            <w:r>
              <w:t>6</w:t>
            </w:r>
          </w:p>
        </w:tc>
        <w:tc>
          <w:tcPr>
            <w:tcW w:w="431" w:type="pct"/>
          </w:tcPr>
          <w:p w14:paraId="3FB0237A"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22.3</w:t>
            </w:r>
          </w:p>
        </w:tc>
        <w:tc>
          <w:tcPr>
            <w:tcW w:w="613" w:type="pct"/>
          </w:tcPr>
          <w:p w14:paraId="634DD4A9"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83.7</w:t>
            </w:r>
          </w:p>
        </w:tc>
        <w:tc>
          <w:tcPr>
            <w:tcW w:w="546" w:type="pct"/>
          </w:tcPr>
          <w:p w14:paraId="3BE45354" w14:textId="77777777" w:rsidR="005E7870" w:rsidRPr="00265596"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3.6</w:t>
            </w:r>
          </w:p>
        </w:tc>
        <w:tc>
          <w:tcPr>
            <w:tcW w:w="458" w:type="pct"/>
          </w:tcPr>
          <w:p w14:paraId="415D81A0" w14:textId="77777777"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Low</w:t>
            </w:r>
          </w:p>
        </w:tc>
        <w:tc>
          <w:tcPr>
            <w:tcW w:w="612" w:type="pct"/>
          </w:tcPr>
          <w:p w14:paraId="446E8A50" w14:textId="72A84BB4" w:rsidR="005E7870" w:rsidRDefault="005E7870" w:rsidP="004E604E">
            <w:pPr>
              <w:pStyle w:val="NoSpacing"/>
              <w:cnfStyle w:val="000000000000" w:firstRow="0" w:lastRow="0" w:firstColumn="0" w:lastColumn="0" w:oddVBand="0" w:evenVBand="0" w:oddHBand="0" w:evenHBand="0" w:firstRowFirstColumn="0" w:firstRowLastColumn="0" w:lastRowFirstColumn="0" w:lastRowLastColumn="0"/>
            </w:pPr>
            <w:r>
              <w:t>3</w:t>
            </w:r>
          </w:p>
        </w:tc>
      </w:tr>
      <w:tr w:rsidR="005E7870" w14:paraId="28ABCCDF" w14:textId="225ECD59" w:rsidTr="005E787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670" w:type="pct"/>
          </w:tcPr>
          <w:p w14:paraId="1D90F86C" w14:textId="77777777" w:rsidR="005E7870" w:rsidRDefault="005E7870" w:rsidP="004E604E">
            <w:pPr>
              <w:pStyle w:val="NoSpacing"/>
            </w:pPr>
            <w:r>
              <w:t>US</w:t>
            </w:r>
          </w:p>
        </w:tc>
        <w:tc>
          <w:tcPr>
            <w:tcW w:w="523" w:type="pct"/>
          </w:tcPr>
          <w:p w14:paraId="5D96F8FC" w14:textId="6D9E4C0A"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$10,209</w:t>
            </w:r>
          </w:p>
        </w:tc>
        <w:tc>
          <w:tcPr>
            <w:tcW w:w="612" w:type="pct"/>
          </w:tcPr>
          <w:p w14:paraId="03DACCC4"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rsidRPr="001D64E0">
              <w:t>2.</w:t>
            </w:r>
            <w:r>
              <w:t>6</w:t>
            </w:r>
          </w:p>
        </w:tc>
        <w:tc>
          <w:tcPr>
            <w:tcW w:w="534" w:type="pct"/>
          </w:tcPr>
          <w:p w14:paraId="7BEE4049" w14:textId="183C9C95"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2.8</w:t>
            </w:r>
          </w:p>
        </w:tc>
        <w:tc>
          <w:tcPr>
            <w:tcW w:w="431" w:type="pct"/>
          </w:tcPr>
          <w:p w14:paraId="7E251C7D" w14:textId="77A5BF2D"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36.7</w:t>
            </w:r>
          </w:p>
        </w:tc>
        <w:tc>
          <w:tcPr>
            <w:tcW w:w="613" w:type="pct"/>
          </w:tcPr>
          <w:p w14:paraId="70C2DDDE" w14:textId="0D3723C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78.6</w:t>
            </w:r>
          </w:p>
        </w:tc>
        <w:tc>
          <w:tcPr>
            <w:tcW w:w="546" w:type="pct"/>
          </w:tcPr>
          <w:p w14:paraId="7EC69497" w14:textId="65B147F4"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5.9</w:t>
            </w:r>
          </w:p>
        </w:tc>
        <w:tc>
          <w:tcPr>
            <w:tcW w:w="458" w:type="pct"/>
          </w:tcPr>
          <w:p w14:paraId="233F6A4E" w14:textId="77777777"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Low</w:t>
            </w:r>
          </w:p>
        </w:tc>
        <w:tc>
          <w:tcPr>
            <w:tcW w:w="612" w:type="pct"/>
          </w:tcPr>
          <w:p w14:paraId="29F89518" w14:textId="1F55313F" w:rsidR="005E7870" w:rsidRDefault="005E7870" w:rsidP="004E604E">
            <w:pPr>
              <w:pStyle w:val="NoSpacing"/>
              <w:cnfStyle w:val="000000100000" w:firstRow="0" w:lastRow="0" w:firstColumn="0" w:lastColumn="0" w:oddVBand="0" w:evenVBand="0" w:oddHBand="1" w:evenHBand="0" w:firstRowFirstColumn="0" w:firstRowLastColumn="0" w:lastRowFirstColumn="0" w:lastRowLastColumn="0"/>
            </w:pPr>
            <w:r>
              <w:t>34</w:t>
            </w:r>
          </w:p>
        </w:tc>
      </w:tr>
    </w:tbl>
    <w:p w14:paraId="6B6BD051" w14:textId="2F82B3BB" w:rsidR="005E7870" w:rsidRDefault="005E7870" w:rsidP="004E604E">
      <w:pPr>
        <w:spacing w:line="240" w:lineRule="auto"/>
      </w:pPr>
      <w:r>
        <w:t>*</w:t>
      </w:r>
      <w:r w:rsidRPr="005E7870">
        <w:t>The Bloomberg Global Health Inde</w:t>
      </w:r>
      <w:r w:rsidR="0019222A">
        <w:t>x</w:t>
      </w:r>
      <w:r w:rsidR="0019222A">
        <w:rPr>
          <w:rStyle w:val="FootnoteReference"/>
        </w:rPr>
        <w:footnoteReference w:id="4"/>
      </w:r>
      <w:r w:rsidR="00082615">
        <w:t xml:space="preserve"> </w:t>
      </w:r>
      <w:r w:rsidRPr="005E7870">
        <w:t xml:space="preserve">is </w:t>
      </w:r>
      <w:r>
        <w:t>“</w:t>
      </w:r>
      <w:r w:rsidRPr="005E7870">
        <w:t>calculated taking into account variables such as life expectancy, causes of death, incidence of high blood pressure, high blood glucose, tobacco use, and physical inactivity. Other parameters taken into account are childhood malnutrition, mental health, vaccination coverage, greenhouse gas emissions.</w:t>
      </w:r>
      <w:r>
        <w:t xml:space="preserve">” The U.S. </w:t>
      </w:r>
      <w:r w:rsidR="000B1FBC">
        <w:t>ranking is brought down by our</w:t>
      </w:r>
      <w:r>
        <w:t xml:space="preserve"> </w:t>
      </w:r>
      <w:r w:rsidR="000B1FBC">
        <w:t>overweight/obesity rates, among other things.</w:t>
      </w:r>
    </w:p>
    <w:p w14:paraId="0DC70DB4" w14:textId="71D4883E" w:rsidR="00DB4EE5" w:rsidRPr="00082615" w:rsidRDefault="004779F7" w:rsidP="004E604E">
      <w:pPr>
        <w:spacing w:line="240" w:lineRule="auto"/>
      </w:pPr>
      <w:r>
        <w:t xml:space="preserve">As you can see, the U.S. has the </w:t>
      </w:r>
      <w:r w:rsidR="00F014EC">
        <w:t>highest</w:t>
      </w:r>
      <w:r>
        <w:t xml:space="preserve"> total cost (per person) and the </w:t>
      </w:r>
      <w:r w:rsidR="00F014EC">
        <w:t xml:space="preserve">worst </w:t>
      </w:r>
      <w:r>
        <w:t xml:space="preserve">life </w:t>
      </w:r>
      <w:r w:rsidR="00C124D5">
        <w:t>expectancy (and we’re actually getting worse here…)</w:t>
      </w:r>
      <w:r w:rsidR="00574A93">
        <w:t xml:space="preserve"> and infant mortality rates</w:t>
      </w:r>
      <w:r w:rsidR="00B17AE7">
        <w:t xml:space="preserve"> (we’re improving here!)</w:t>
      </w:r>
      <w:r w:rsidR="002A675D">
        <w:t>.</w:t>
      </w:r>
      <w:r w:rsidR="004C5551">
        <w:t xml:space="preserve"> </w:t>
      </w:r>
      <w:r>
        <w:t>We also have smaller</w:t>
      </w:r>
      <w:r w:rsidR="00F456F5">
        <w:t xml:space="preserve"> than average</w:t>
      </w:r>
      <w:r>
        <w:t xml:space="preserve"> numbers of physicians and hospital beds</w:t>
      </w:r>
      <w:r w:rsidR="00E51D5C">
        <w:t xml:space="preserve">. </w:t>
      </w:r>
      <w:r w:rsidR="00B65766">
        <w:t>(Canad</w:t>
      </w:r>
      <w:r w:rsidR="00A773C5">
        <w:t xml:space="preserve">a </w:t>
      </w:r>
      <w:r w:rsidR="0015519A">
        <w:t>and the UK</w:t>
      </w:r>
      <w:r w:rsidR="00765411">
        <w:t xml:space="preserve"> also</w:t>
      </w:r>
      <w:r w:rsidR="0015519A">
        <w:t xml:space="preserve"> </w:t>
      </w:r>
      <w:r w:rsidR="00765411">
        <w:t>have low numbers of physicians</w:t>
      </w:r>
      <w:r w:rsidR="00F706C1">
        <w:t xml:space="preserve">, which suggests there may </w:t>
      </w:r>
      <w:r w:rsidR="00E54869">
        <w:t>be a physician shortage in English-speaking countries, regardless of how the health care system is set up</w:t>
      </w:r>
      <w:r w:rsidR="00435512">
        <w:t>.</w:t>
      </w:r>
      <w:r w:rsidR="00B65766">
        <w:t xml:space="preserve">) </w:t>
      </w:r>
      <w:r w:rsidR="00E51D5C">
        <w:t>However, we</w:t>
      </w:r>
      <w:r>
        <w:t xml:space="preserve"> have </w:t>
      </w:r>
      <w:r w:rsidR="00EE2ACC">
        <w:t>very high</w:t>
      </w:r>
      <w:r>
        <w:t xml:space="preserve"> rates of use of advanced technologies (such as MRI scans</w:t>
      </w:r>
      <w:r w:rsidR="00D50DCF">
        <w:t xml:space="preserve"> and CT </w:t>
      </w:r>
      <w:r w:rsidR="00D50DCF">
        <w:lastRenderedPageBreak/>
        <w:t>scans</w:t>
      </w:r>
      <w:r w:rsidR="00E51D5C">
        <w:t xml:space="preserve">). The US is </w:t>
      </w:r>
      <w:r>
        <w:t>the only</w:t>
      </w:r>
      <w:r w:rsidR="00E51D5C">
        <w:t xml:space="preserve"> rich</w:t>
      </w:r>
      <w:r>
        <w:t xml:space="preserve"> country on the chart</w:t>
      </w:r>
      <w:r w:rsidR="000334AD">
        <w:t xml:space="preserve"> that has any </w:t>
      </w:r>
      <w:r w:rsidR="000334AD">
        <w:rPr>
          <w:i/>
        </w:rPr>
        <w:t xml:space="preserve">significant </w:t>
      </w:r>
      <w:r w:rsidR="000334AD">
        <w:t>number of</w:t>
      </w:r>
      <w:r w:rsidR="00D12CAE">
        <w:t xml:space="preserve"> uninsured</w:t>
      </w:r>
      <w:r w:rsidR="000334AD">
        <w:t xml:space="preserve"> or underinsured</w:t>
      </w:r>
      <w:r w:rsidR="00D12CAE">
        <w:t xml:space="preserve"> people</w:t>
      </w:r>
      <w:r w:rsidR="002065F4">
        <w:t>.</w:t>
      </w:r>
      <w:r w:rsidR="00A635C3">
        <w:t xml:space="preserve"> </w:t>
      </w:r>
      <w:r w:rsidR="00E262C6">
        <w:t xml:space="preserve">Weirdly enough, </w:t>
      </w:r>
      <w:r w:rsidR="00F06731">
        <w:t xml:space="preserve">the US government </w:t>
      </w:r>
      <w:r w:rsidR="00F06731" w:rsidRPr="009C7300">
        <w:t>c</w:t>
      </w:r>
      <w:r w:rsidR="00674876" w:rsidRPr="009C7300">
        <w:t>urrently</w:t>
      </w:r>
      <w:r w:rsidR="00674876">
        <w:rPr>
          <w:i/>
        </w:rPr>
        <w:t xml:space="preserve"> </w:t>
      </w:r>
      <w:r w:rsidR="00F06731">
        <w:t>spends more</w:t>
      </w:r>
      <w:r w:rsidR="00C14981">
        <w:t xml:space="preserve"> </w:t>
      </w:r>
      <w:r w:rsidR="00C14981" w:rsidRPr="009C7300">
        <w:rPr>
          <w:i/>
        </w:rPr>
        <w:t>tax</w:t>
      </w:r>
      <w:r w:rsidR="00B65766" w:rsidRPr="009C7300">
        <w:rPr>
          <w:i/>
        </w:rPr>
        <w:t>payer</w:t>
      </w:r>
      <w:r w:rsidR="00B65766">
        <w:t xml:space="preserve"> money</w:t>
      </w:r>
      <w:r w:rsidR="00F06731">
        <w:t xml:space="preserve"> on health care per capita than do countries like the</w:t>
      </w:r>
      <w:r w:rsidR="00E262C6">
        <w:t xml:space="preserve"> UK</w:t>
      </w:r>
      <w:r w:rsidR="00C56B8C">
        <w:t xml:space="preserve"> or</w:t>
      </w:r>
      <w:r w:rsidR="00C14981">
        <w:t xml:space="preserve"> Canada.</w:t>
      </w:r>
      <w:r w:rsidR="00E95FE4">
        <w:t xml:space="preserve"> </w:t>
      </w:r>
      <w:r w:rsidR="000B1FBC">
        <w:t>In Commonwea</w:t>
      </w:r>
      <w:r w:rsidR="00082615">
        <w:t xml:space="preserve">lth Fund Surveys (2016), the US had </w:t>
      </w:r>
      <w:r w:rsidR="00082615">
        <w:rPr>
          <w:i/>
        </w:rPr>
        <w:t xml:space="preserve">many </w:t>
      </w:r>
      <w:r w:rsidR="00082615">
        <w:t>more citizens (23%, vs. an average of around 5%) say the health system needed to be “completely rebuilt” than any other country.</w:t>
      </w:r>
    </w:p>
    <w:p w14:paraId="4E994E15" w14:textId="0713E743" w:rsidR="00D35306" w:rsidRDefault="00D35306" w:rsidP="004E604E">
      <w:pPr>
        <w:pStyle w:val="Heading2"/>
        <w:spacing w:line="240" w:lineRule="auto"/>
      </w:pPr>
      <w:r>
        <w:t>What Makes Health Care in the US Expensive?</w:t>
      </w:r>
      <w:r w:rsidR="00D14A4E">
        <w:t xml:space="preserve"> Why Do We Get such Poor Results?</w:t>
      </w:r>
    </w:p>
    <w:p w14:paraId="64B3ABF7" w14:textId="45C2172B" w:rsidR="00721369" w:rsidRDefault="00721369" w:rsidP="004E604E">
      <w:pPr>
        <w:spacing w:line="240" w:lineRule="auto"/>
        <w:rPr>
          <w:b/>
        </w:rPr>
      </w:pPr>
      <w:r>
        <w:rPr>
          <w:b/>
        </w:rPr>
        <w:t xml:space="preserve">Different </w:t>
      </w:r>
      <w:r w:rsidR="008244D1">
        <w:rPr>
          <w:b/>
        </w:rPr>
        <w:t>P</w:t>
      </w:r>
      <w:r w:rsidR="00B0180D">
        <w:rPr>
          <w:b/>
        </w:rPr>
        <w:t>opulations.</w:t>
      </w:r>
      <w:r>
        <w:rPr>
          <w:b/>
        </w:rPr>
        <w:t xml:space="preserve"> </w:t>
      </w:r>
      <w:r>
        <w:t>The US has more</w:t>
      </w:r>
      <w:r w:rsidR="000B1FBC">
        <w:t xml:space="preserve"> overweight and</w:t>
      </w:r>
      <w:r>
        <w:t xml:space="preserve"> obese people than do most other rich countries.</w:t>
      </w:r>
      <w:r w:rsidR="00810EA5">
        <w:t xml:space="preserve"> We also have higher rates of car a</w:t>
      </w:r>
      <w:r w:rsidR="000B1FBC">
        <w:t xml:space="preserve">ccidents, illegal drug use, </w:t>
      </w:r>
      <w:r w:rsidR="00810EA5">
        <w:t>homicide</w:t>
      </w:r>
      <w:r w:rsidR="000B1FBC">
        <w:t>, and suicide</w:t>
      </w:r>
      <w:r w:rsidR="00810EA5">
        <w:t>.</w:t>
      </w:r>
      <w:r>
        <w:t xml:space="preserve"> However, we have less smokers,</w:t>
      </w:r>
      <w:r w:rsidR="00AF6E97">
        <w:t xml:space="preserve"> consume less alcohol,</w:t>
      </w:r>
      <w:r>
        <w:t xml:space="preserve"> and </w:t>
      </w:r>
      <w:r w:rsidR="00AF6E97">
        <w:t>are generally younger</w:t>
      </w:r>
      <w:r>
        <w:t xml:space="preserve">. </w:t>
      </w:r>
      <w:r w:rsidR="00F014EC">
        <w:t>In addition, the US has higher rates of income inequality (more extremely poor and extremely rich) and lower rates of lifetime social mobility (it’s much tougher in the US to “work your way to the top</w:t>
      </w:r>
      <w:r w:rsidR="004A4F6A">
        <w:t>”</w:t>
      </w:r>
      <w:r w:rsidR="00F014EC">
        <w:t>). These all affect things like life expectancy</w:t>
      </w:r>
      <w:r w:rsidR="00AB4965">
        <w:t xml:space="preserve"> and infant mortality</w:t>
      </w:r>
      <w:r w:rsidR="00F014EC">
        <w:t xml:space="preserve">. </w:t>
      </w:r>
      <w:r w:rsidR="00660132">
        <w:t xml:space="preserve"> </w:t>
      </w:r>
    </w:p>
    <w:p w14:paraId="7D5DCF0B" w14:textId="357A6982" w:rsidR="00D35306" w:rsidRDefault="008E44C9" w:rsidP="004E604E">
      <w:pPr>
        <w:spacing w:line="240" w:lineRule="auto"/>
      </w:pPr>
      <w:r>
        <w:rPr>
          <w:b/>
        </w:rPr>
        <w:t xml:space="preserve">Different </w:t>
      </w:r>
      <w:r w:rsidR="00D35306" w:rsidRPr="008E44C9">
        <w:rPr>
          <w:b/>
        </w:rPr>
        <w:t>Use of Health Care Resources.</w:t>
      </w:r>
      <w:r w:rsidR="00D35306">
        <w:t xml:space="preserve"> </w:t>
      </w:r>
      <w:r w:rsidR="00D71BF8">
        <w:t>Healthcare providers</w:t>
      </w:r>
      <w:r>
        <w:t xml:space="preserve"> in the US spend</w:t>
      </w:r>
      <w:r w:rsidR="00D35306">
        <w:t xml:space="preserve"> a huge amount of money on </w:t>
      </w:r>
      <w:r w:rsidR="00E262C6">
        <w:t xml:space="preserve">complex conditions, such as </w:t>
      </w:r>
      <w:r w:rsidR="00D35306">
        <w:t>treating solid-tumor cancers</w:t>
      </w:r>
      <w:r w:rsidR="00A54C75">
        <w:t xml:space="preserve"> (breast, prostate,</w:t>
      </w:r>
      <w:r w:rsidR="00200C82">
        <w:t xml:space="preserve"> and</w:t>
      </w:r>
      <w:r w:rsidR="00A54C75">
        <w:t xml:space="preserve"> lung)</w:t>
      </w:r>
      <w:r w:rsidR="00D35306">
        <w:t xml:space="preserve">, and it shows—the US </w:t>
      </w:r>
      <w:r w:rsidR="00883447">
        <w:t>does better than average</w:t>
      </w:r>
      <w:r w:rsidR="00D35306">
        <w:t xml:space="preserve"> in </w:t>
      </w:r>
      <w:r w:rsidR="0092354A">
        <w:t>five</w:t>
      </w:r>
      <w:r w:rsidR="00D35306">
        <w:t xml:space="preserve">-year survival rates </w:t>
      </w:r>
      <w:r w:rsidR="00A54C75">
        <w:t>for</w:t>
      </w:r>
      <w:r w:rsidR="00660132">
        <w:t xml:space="preserve"> nearly all </w:t>
      </w:r>
      <w:r w:rsidR="00A54C75">
        <w:t>of these</w:t>
      </w:r>
      <w:r w:rsidR="00D35306">
        <w:t xml:space="preserve"> cancer</w:t>
      </w:r>
      <w:r w:rsidR="00A54C75">
        <w:t>s</w:t>
      </w:r>
      <w:r w:rsidR="00E262C6">
        <w:t xml:space="preserve">. </w:t>
      </w:r>
      <w:r w:rsidR="00D35306">
        <w:t>However, th</w:t>
      </w:r>
      <w:r w:rsidR="00896B50">
        <w:t>e</w:t>
      </w:r>
      <w:r w:rsidR="00D35306">
        <w:t>s</w:t>
      </w:r>
      <w:r w:rsidR="00896B50">
        <w:t>e improvements</w:t>
      </w:r>
      <w:r w:rsidR="00D35306">
        <w:t xml:space="preserve"> </w:t>
      </w:r>
      <w:r w:rsidR="00896B50">
        <w:t xml:space="preserve">in treatment are </w:t>
      </w:r>
      <w:r w:rsidR="007224C8">
        <w:t xml:space="preserve">very </w:t>
      </w:r>
      <w:r w:rsidR="00D35306">
        <w:t>expensive (</w:t>
      </w:r>
      <w:r w:rsidR="00896B50">
        <w:t>they</w:t>
      </w:r>
      <w:r w:rsidR="00D35306">
        <w:t xml:space="preserve"> involve</w:t>
      </w:r>
      <w:r w:rsidR="00896B50">
        <w:t xml:space="preserve"> more</w:t>
      </w:r>
      <w:r w:rsidR="00D35306">
        <w:t xml:space="preserve"> MRIs, CT scans, </w:t>
      </w:r>
      <w:r w:rsidR="000933F8">
        <w:t>oncologists</w:t>
      </w:r>
      <w:r w:rsidR="00D35306">
        <w:t>,</w:t>
      </w:r>
      <w:r w:rsidR="000933F8">
        <w:t xml:space="preserve"> surgeons,</w:t>
      </w:r>
      <w:r w:rsidR="00D35306">
        <w:t xml:space="preserve"> chemotherapy drugs,</w:t>
      </w:r>
      <w:r w:rsidR="00554583">
        <w:t xml:space="preserve"> white-cell boosting drugs,</w:t>
      </w:r>
      <w:r w:rsidR="007224C8">
        <w:t xml:space="preserve"> and so on), and </w:t>
      </w:r>
      <w:r w:rsidR="00896B50">
        <w:t xml:space="preserve">save </w:t>
      </w:r>
      <w:r w:rsidR="005B6566">
        <w:t>relatively few years of life</w:t>
      </w:r>
      <w:r w:rsidR="00D35306">
        <w:t>.</w:t>
      </w:r>
      <w:r w:rsidR="00883447">
        <w:t xml:space="preserve"> </w:t>
      </w:r>
      <w:r w:rsidR="005B6566">
        <w:t xml:space="preserve">We also have many of the world’s top </w:t>
      </w:r>
      <w:r w:rsidR="00672112">
        <w:rPr>
          <w:i/>
        </w:rPr>
        <w:t>specialty</w:t>
      </w:r>
      <w:r w:rsidR="005B6566">
        <w:rPr>
          <w:i/>
        </w:rPr>
        <w:t xml:space="preserve"> </w:t>
      </w:r>
      <w:r w:rsidR="005B6566">
        <w:t>hospitals (</w:t>
      </w:r>
      <w:r w:rsidR="00E54869">
        <w:t xml:space="preserve">just </w:t>
      </w:r>
      <w:r w:rsidR="00672112">
        <w:t>in the</w:t>
      </w:r>
      <w:r w:rsidR="005B6566">
        <w:t xml:space="preserve"> Midwest</w:t>
      </w:r>
      <w:r w:rsidR="00672112">
        <w:t>, we have</w:t>
      </w:r>
      <w:r w:rsidR="005B6566">
        <w:t xml:space="preserve"> Mayo, Cleveland Cl</w:t>
      </w:r>
      <w:r w:rsidR="00672112">
        <w:t>inic, and Northwestern Memorial</w:t>
      </w:r>
      <w:r w:rsidR="005B6566">
        <w:t>)</w:t>
      </w:r>
      <w:r w:rsidR="003A13B0">
        <w:t>, and Americans generally have shorter waiting times for elective surgeries.</w:t>
      </w:r>
      <w:r w:rsidR="005B6566">
        <w:t xml:space="preserve"> </w:t>
      </w:r>
      <w:r w:rsidR="00D35306">
        <w:t>By contrast, many other countries focus resources</w:t>
      </w:r>
      <w:r w:rsidR="005B6566">
        <w:t xml:space="preserve"> on primary, </w:t>
      </w:r>
      <w:r w:rsidR="00EA43C0">
        <w:t>preventive</w:t>
      </w:r>
      <w:r w:rsidR="005B6566">
        <w:t xml:space="preserve">, and </w:t>
      </w:r>
      <w:r w:rsidR="00200C82">
        <w:t xml:space="preserve">follow-up </w:t>
      </w:r>
      <w:r w:rsidR="005B6566">
        <w:t>care</w:t>
      </w:r>
      <w:r w:rsidR="00EA43C0">
        <w:t>,</w:t>
      </w:r>
      <w:r w:rsidR="005B6566">
        <w:t xml:space="preserve"> which offer better “returns on investment.” </w:t>
      </w:r>
      <w:r w:rsidR="003A13B0">
        <w:t>However, it is unlikely that these factors (considered by themselves) can account for the large differences in cost, since many countries (</w:t>
      </w:r>
      <w:r w:rsidR="0092354A">
        <w:t>e.g.,</w:t>
      </w:r>
      <w:r w:rsidR="003A13B0">
        <w:t xml:space="preserve"> Germany, Japan, and Switzerland) also have </w:t>
      </w:r>
      <w:r w:rsidR="0073789A">
        <w:t>comparable</w:t>
      </w:r>
      <w:r w:rsidR="003A13B0">
        <w:t xml:space="preserve"> number of specialists </w:t>
      </w:r>
      <w:r w:rsidR="00777F5C">
        <w:t>and uses of high tech equipment, and comparable waiting times to the US.</w:t>
      </w:r>
    </w:p>
    <w:p w14:paraId="161F1C65" w14:textId="21414C9A" w:rsidR="00E262C6" w:rsidRDefault="00ED6FDB" w:rsidP="004E604E">
      <w:pPr>
        <w:spacing w:line="240" w:lineRule="auto"/>
      </w:pPr>
      <w:r w:rsidRPr="00ED6FDB">
        <w:rPr>
          <w:b/>
        </w:rPr>
        <w:t>Administrative Costs.</w:t>
      </w:r>
      <w:r>
        <w:rPr>
          <w:b/>
        </w:rPr>
        <w:t xml:space="preserve"> </w:t>
      </w:r>
      <w:r>
        <w:t>In other</w:t>
      </w:r>
      <w:r w:rsidR="007224C8">
        <w:t xml:space="preserve"> rich</w:t>
      </w:r>
      <w:r>
        <w:t xml:space="preserve"> nation</w:t>
      </w:r>
      <w:r w:rsidR="007224C8">
        <w:t>s</w:t>
      </w:r>
      <w:r>
        <w:t xml:space="preserve">, insurance </w:t>
      </w:r>
      <w:r w:rsidR="007224C8">
        <w:t>plans</w:t>
      </w:r>
      <w:r w:rsidR="00916260">
        <w:t>/governments</w:t>
      </w:r>
      <w:r w:rsidR="007224C8">
        <w:t xml:space="preserve"> </w:t>
      </w:r>
      <w:r>
        <w:t xml:space="preserve">are required to provide </w:t>
      </w:r>
      <w:r w:rsidR="00484CC9">
        <w:t xml:space="preserve">coverage </w:t>
      </w:r>
      <w:r>
        <w:t>for all citizens (and in return, citizens are not allowed to “opt out” of</w:t>
      </w:r>
      <w:r w:rsidR="0010094A">
        <w:t xml:space="preserve"> paying for</w:t>
      </w:r>
      <w:r>
        <w:t xml:space="preserve"> coverage). In the US, insurance companies</w:t>
      </w:r>
      <w:r w:rsidR="00FB3AA0">
        <w:t xml:space="preserve"> have historically been</w:t>
      </w:r>
      <w:r>
        <w:t xml:space="preserve"> allowed to reject people (or charge them different costs) based on things such as age or “pre-existing” </w:t>
      </w:r>
      <w:r w:rsidR="002D3B05">
        <w:t>conditions</w:t>
      </w:r>
      <w:r>
        <w:t xml:space="preserve">. Because of this, US insurance companies spend lots of time and money trying to figure out who to cover (and which claims to deny). Insurance </w:t>
      </w:r>
      <w:r w:rsidR="000F2D6E">
        <w:t>plans</w:t>
      </w:r>
      <w:r>
        <w:t xml:space="preserve"> in other countries (and Medicare/Medicaid</w:t>
      </w:r>
      <w:r w:rsidR="00B17AE7">
        <w:t>/VA</w:t>
      </w:r>
      <w:r>
        <w:t xml:space="preserve"> in the US) spend around </w:t>
      </w:r>
      <w:r w:rsidR="004F0640">
        <w:t>1</w:t>
      </w:r>
      <w:r>
        <w:t xml:space="preserve"> to </w:t>
      </w:r>
      <w:r w:rsidR="004F0640">
        <w:t>3</w:t>
      </w:r>
      <w:r>
        <w:t>% of their revenue on administration</w:t>
      </w:r>
      <w:r w:rsidR="007072DD">
        <w:t xml:space="preserve"> and billing</w:t>
      </w:r>
      <w:r>
        <w:t>;</w:t>
      </w:r>
      <w:r w:rsidR="000F2D6E">
        <w:t xml:space="preserve"> while</w:t>
      </w:r>
      <w:r>
        <w:t xml:space="preserve"> US insurance companies</w:t>
      </w:r>
      <w:r w:rsidR="007072DD">
        <w:t>, clinics, and hospitals</w:t>
      </w:r>
      <w:r>
        <w:t xml:space="preserve"> in the US </w:t>
      </w:r>
      <w:r w:rsidR="0092354A">
        <w:t xml:space="preserve">have historically </w:t>
      </w:r>
      <w:r>
        <w:t>spen</w:t>
      </w:r>
      <w:r w:rsidR="0092354A">
        <w:t>t</w:t>
      </w:r>
      <w:r>
        <w:t xml:space="preserve"> 10 to </w:t>
      </w:r>
      <w:r w:rsidR="007072DD">
        <w:t>20%</w:t>
      </w:r>
      <w:r w:rsidR="00904DBA">
        <w:t>.</w:t>
      </w:r>
      <w:r w:rsidR="006D6D0A">
        <w:t xml:space="preserve"> The Obamacare “individual mandate”</w:t>
      </w:r>
      <w:r w:rsidR="000F2D6E">
        <w:t xml:space="preserve"> (and the requiremen</w:t>
      </w:r>
      <w:r w:rsidR="00563581">
        <w:t>t that insurers cover everyone)</w:t>
      </w:r>
      <w:r w:rsidR="006D6D0A">
        <w:t xml:space="preserve"> </w:t>
      </w:r>
      <w:r w:rsidR="0073789A">
        <w:t xml:space="preserve">was </w:t>
      </w:r>
      <w:r w:rsidR="00FB3AA0">
        <w:t xml:space="preserve">projected </w:t>
      </w:r>
      <w:r w:rsidR="006D6D0A">
        <w:t xml:space="preserve">to address </w:t>
      </w:r>
      <w:r w:rsidR="00B03DA3">
        <w:t xml:space="preserve">some of </w:t>
      </w:r>
      <w:r w:rsidR="000F2D6E">
        <w:t>these problems</w:t>
      </w:r>
      <w:r w:rsidR="007072DD">
        <w:t xml:space="preserve"> (at least for insurance </w:t>
      </w:r>
      <w:r w:rsidR="00BE28F3">
        <w:t xml:space="preserve">companies). </w:t>
      </w:r>
      <w:r w:rsidR="0073789A">
        <w:t xml:space="preserve">However, this mandate was </w:t>
      </w:r>
      <w:r w:rsidR="00803873">
        <w:t xml:space="preserve">effectively </w:t>
      </w:r>
      <w:r w:rsidR="0073789A">
        <w:t>repealed in 2017, and its unclear how this will affect costs in the long run.</w:t>
      </w:r>
    </w:p>
    <w:p w14:paraId="0ACAF607" w14:textId="30D0D384" w:rsidR="00ED6FDB" w:rsidRDefault="00ED6FDB" w:rsidP="004E604E">
      <w:pPr>
        <w:spacing w:line="240" w:lineRule="auto"/>
      </w:pPr>
      <w:r w:rsidRPr="00ED6FDB">
        <w:rPr>
          <w:b/>
        </w:rPr>
        <w:t>Profits.</w:t>
      </w:r>
      <w:r>
        <w:rPr>
          <w:b/>
        </w:rPr>
        <w:t xml:space="preserve"> </w:t>
      </w:r>
      <w:r w:rsidR="00812BE7">
        <w:t xml:space="preserve">Certain industries make a lot of money off the current system. </w:t>
      </w:r>
      <w:r>
        <w:t xml:space="preserve">The biggest gainers </w:t>
      </w:r>
      <w:r w:rsidR="00C124D5">
        <w:t>have probably been</w:t>
      </w:r>
      <w:r w:rsidR="008D3A83">
        <w:t xml:space="preserve"> the</w:t>
      </w:r>
      <w:r>
        <w:t xml:space="preserve"> </w:t>
      </w:r>
      <w:r w:rsidR="007E4EF3">
        <w:t xml:space="preserve">multi-national </w:t>
      </w:r>
      <w:r>
        <w:t>drug and medical technology companies</w:t>
      </w:r>
      <w:r w:rsidR="00C124D5">
        <w:t>, and the associated pharmacy benefit managers</w:t>
      </w:r>
      <w:r>
        <w:t xml:space="preserve"> (who have huge profit margins, often above </w:t>
      </w:r>
      <w:r w:rsidR="00C124D5">
        <w:t>15</w:t>
      </w:r>
      <w:r>
        <w:t xml:space="preserve">%), and </w:t>
      </w:r>
      <w:r w:rsidR="007E4EF3">
        <w:t>private i</w:t>
      </w:r>
      <w:r>
        <w:t xml:space="preserve">nsurance companies (who have smaller profit margins, often </w:t>
      </w:r>
      <w:r w:rsidR="00B03DA3">
        <w:t>below</w:t>
      </w:r>
      <w:r>
        <w:t xml:space="preserve"> 5%).</w:t>
      </w:r>
      <w:r w:rsidR="00904DBA">
        <w:t xml:space="preserve"> </w:t>
      </w:r>
      <w:r w:rsidR="001F3E55">
        <w:t>Physicians</w:t>
      </w:r>
      <w:r w:rsidR="005B239E">
        <w:t xml:space="preserve"> (and especially specialists)</w:t>
      </w:r>
      <w:r w:rsidR="001F3E55">
        <w:t xml:space="preserve"> </w:t>
      </w:r>
      <w:r w:rsidR="00B03DA3">
        <w:t xml:space="preserve">also </w:t>
      </w:r>
      <w:r w:rsidR="001F3E55">
        <w:t>earn more in the US than in other</w:t>
      </w:r>
      <w:r w:rsidR="007224C8">
        <w:t xml:space="preserve"> rich</w:t>
      </w:r>
      <w:r w:rsidR="001F3E55">
        <w:t xml:space="preserve"> countries (even after we take into account their more expensive medical school</w:t>
      </w:r>
      <w:r w:rsidR="00BE28F3">
        <w:t>s</w:t>
      </w:r>
      <w:r w:rsidR="0090643C">
        <w:t>, longer hours worked,</w:t>
      </w:r>
      <w:r w:rsidR="001F3E55">
        <w:t xml:space="preserve"> and higher cost of malpractice insurance).</w:t>
      </w:r>
      <w:r w:rsidR="008A13D2">
        <w:t xml:space="preserve"> Many US providers use a “pay per service” model in which providers are compensated for each procedure they perform, and this may encourage the</w:t>
      </w:r>
      <w:r w:rsidR="00885577">
        <w:t>m to give patients expensive and</w:t>
      </w:r>
      <w:r w:rsidR="008A13D2">
        <w:t xml:space="preserve"> unnecessary</w:t>
      </w:r>
      <w:r w:rsidR="00885577">
        <w:t xml:space="preserve"> (and possibly even harmful)</w:t>
      </w:r>
      <w:r w:rsidR="008A13D2">
        <w:t xml:space="preserve"> treatments. </w:t>
      </w:r>
      <w:r w:rsidR="00916260">
        <w:t xml:space="preserve">The </w:t>
      </w:r>
      <w:r w:rsidR="008A13D2">
        <w:t>Mayo Clinic, among others, has rejected this model</w:t>
      </w:r>
      <w:r w:rsidR="0095675C">
        <w:t xml:space="preserve"> (and </w:t>
      </w:r>
      <w:r w:rsidR="00FB3AA0">
        <w:t xml:space="preserve">instead </w:t>
      </w:r>
      <w:r w:rsidR="0095675C">
        <w:t>pays staff fixed salaries)</w:t>
      </w:r>
      <w:r w:rsidR="008A13D2">
        <w:t xml:space="preserve">. Obamacare </w:t>
      </w:r>
      <w:r w:rsidR="00885577">
        <w:t xml:space="preserve">addresses *some* of these issues (e.g., by mandating insurers spend 85% </w:t>
      </w:r>
      <w:r w:rsidR="003800B9">
        <w:t>of their money on patient care, and by changing Medicare payment systems)</w:t>
      </w:r>
      <w:r w:rsidR="0073789A">
        <w:t>. Other countries avoid this problem by giving the government more power over the rates charged for medical care, which results in lower drug costs, medical equipment costs, and salaries (Japan is especially famous for this).</w:t>
      </w:r>
    </w:p>
    <w:p w14:paraId="225C6037" w14:textId="0F9E4E45" w:rsidR="00EE605C" w:rsidRDefault="002C05E5" w:rsidP="004E604E">
      <w:pPr>
        <w:spacing w:line="240" w:lineRule="auto"/>
      </w:pPr>
      <w:r>
        <w:rPr>
          <w:b/>
        </w:rPr>
        <w:t xml:space="preserve">Costs Due </w:t>
      </w:r>
      <w:r w:rsidR="001E7B88">
        <w:rPr>
          <w:b/>
        </w:rPr>
        <w:t>to “Free Riders</w:t>
      </w:r>
      <w:r>
        <w:rPr>
          <w:b/>
        </w:rPr>
        <w:t>.</w:t>
      </w:r>
      <w:r w:rsidR="001E7B88">
        <w:rPr>
          <w:b/>
        </w:rPr>
        <w:t>”</w:t>
      </w:r>
      <w:r>
        <w:rPr>
          <w:b/>
        </w:rPr>
        <w:t xml:space="preserve"> </w:t>
      </w:r>
      <w:r>
        <w:t xml:space="preserve">People without health insurance </w:t>
      </w:r>
      <w:r w:rsidR="0010094A">
        <w:t xml:space="preserve">(or </w:t>
      </w:r>
      <w:r w:rsidR="0092354A">
        <w:t>who are underinsured</w:t>
      </w:r>
      <w:r w:rsidR="0010094A">
        <w:t xml:space="preserve">) </w:t>
      </w:r>
      <w:r>
        <w:t>pass on considerable costs to</w:t>
      </w:r>
      <w:r w:rsidR="000155A3">
        <w:t xml:space="preserve"> </w:t>
      </w:r>
      <w:r>
        <w:t>tax payers, insurance companies, and health care providers. In particula</w:t>
      </w:r>
      <w:r w:rsidR="000155A3">
        <w:t>r, because they are often u</w:t>
      </w:r>
      <w:r w:rsidR="00BE28F3">
        <w:t>nable or unwilling</w:t>
      </w:r>
      <w:r>
        <w:t xml:space="preserve"> to </w:t>
      </w:r>
      <w:r w:rsidR="000155A3">
        <w:t xml:space="preserve">pay for </w:t>
      </w:r>
      <w:r>
        <w:t>primary or preventive care, they will let preventable conditions become very bad. They will then show up to the e</w:t>
      </w:r>
      <w:r w:rsidR="00FC0645">
        <w:t xml:space="preserve">mergency room for </w:t>
      </w:r>
      <w:r w:rsidR="000504FA">
        <w:t xml:space="preserve">(very expensive) </w:t>
      </w:r>
      <w:r w:rsidR="00FC0645">
        <w:t>treatment</w:t>
      </w:r>
      <w:r w:rsidR="000504FA">
        <w:t xml:space="preserve"> that will be paid </w:t>
      </w:r>
      <w:r w:rsidR="00C45357">
        <w:t>for by the government and/or hospital (after it bankrupts the patient</w:t>
      </w:r>
      <w:r w:rsidR="00803523">
        <w:t>).</w:t>
      </w:r>
      <w:r w:rsidR="00FC0645">
        <w:t xml:space="preserve"> This does not occur in other countries, since everyone is covered. </w:t>
      </w:r>
      <w:r w:rsidR="00EE605C">
        <w:t xml:space="preserve">Fixing this issue </w:t>
      </w:r>
      <w:r w:rsidR="0073789A">
        <w:t>wa</w:t>
      </w:r>
      <w:r w:rsidR="00EE605C">
        <w:t xml:space="preserve">s one purpose of Obamacare’s </w:t>
      </w:r>
      <w:r w:rsidR="0092354A">
        <w:rPr>
          <w:b/>
        </w:rPr>
        <w:t xml:space="preserve">individual mandate, </w:t>
      </w:r>
      <w:r w:rsidR="0092354A">
        <w:t>which requires that most people carry some sort of health insurance, or pay a fine.</w:t>
      </w:r>
      <w:r w:rsidR="0073789A">
        <w:t xml:space="preserve"> Again, with the elimination of this mandate in 2017, this will again become a problem (since people will once again have an incentive to forgo having health insurance until they “need” it).</w:t>
      </w:r>
    </w:p>
    <w:p w14:paraId="60734585" w14:textId="38684344" w:rsidR="007568A7" w:rsidRDefault="00357101" w:rsidP="004E604E">
      <w:pPr>
        <w:pStyle w:val="Heading2"/>
        <w:spacing w:line="240" w:lineRule="auto"/>
      </w:pPr>
      <w:bookmarkStart w:id="0" w:name="_GoBack"/>
      <w:bookmarkEnd w:id="0"/>
      <w:r>
        <w:t>Review Questions</w:t>
      </w:r>
    </w:p>
    <w:p w14:paraId="12E96118" w14:textId="6875ED5E" w:rsidR="00F2005C" w:rsidRDefault="003A68E1" w:rsidP="004E604E">
      <w:pPr>
        <w:pStyle w:val="ListParagraph"/>
        <w:numPr>
          <w:ilvl w:val="0"/>
          <w:numId w:val="6"/>
        </w:numPr>
        <w:spacing w:line="240" w:lineRule="auto"/>
      </w:pPr>
      <w:r>
        <w:t>Describe (in general terms</w:t>
      </w:r>
      <w:r w:rsidR="00443EF6">
        <w:t>, and in your own words</w:t>
      </w:r>
      <w:r>
        <w:t>) how the following health care systems differ from the U.S. model.</w:t>
      </w:r>
    </w:p>
    <w:p w14:paraId="47C47559" w14:textId="46838D48" w:rsidR="00F2005C" w:rsidRDefault="003A68E1" w:rsidP="004E604E">
      <w:pPr>
        <w:pStyle w:val="ListParagraph"/>
        <w:numPr>
          <w:ilvl w:val="1"/>
          <w:numId w:val="6"/>
        </w:numPr>
        <w:spacing w:line="240" w:lineRule="auto"/>
      </w:pPr>
      <w:r>
        <w:t xml:space="preserve">National Health Insurance (e.g. </w:t>
      </w:r>
      <w:r w:rsidR="00F2005C">
        <w:t>Canada</w:t>
      </w:r>
      <w:r>
        <w:t>)</w:t>
      </w:r>
    </w:p>
    <w:p w14:paraId="783BCAF1" w14:textId="368E4EA6" w:rsidR="00F2005C" w:rsidRDefault="003A68E1" w:rsidP="004E604E">
      <w:pPr>
        <w:pStyle w:val="ListParagraph"/>
        <w:numPr>
          <w:ilvl w:val="1"/>
          <w:numId w:val="6"/>
        </w:numPr>
        <w:spacing w:line="240" w:lineRule="auto"/>
      </w:pPr>
      <w:r>
        <w:t xml:space="preserve">Beveridge (e.g. </w:t>
      </w:r>
      <w:r w:rsidR="00F2005C">
        <w:t>Britain</w:t>
      </w:r>
      <w:r>
        <w:t>)</w:t>
      </w:r>
    </w:p>
    <w:p w14:paraId="290C61AD" w14:textId="05C70B89" w:rsidR="00F2005C" w:rsidRDefault="003A68E1" w:rsidP="004E604E">
      <w:pPr>
        <w:pStyle w:val="ListParagraph"/>
        <w:numPr>
          <w:ilvl w:val="1"/>
          <w:numId w:val="6"/>
        </w:numPr>
        <w:spacing w:line="240" w:lineRule="auto"/>
      </w:pPr>
      <w:proofErr w:type="spellStart"/>
      <w:r>
        <w:t>Bismark</w:t>
      </w:r>
      <w:proofErr w:type="spellEnd"/>
      <w:r>
        <w:t xml:space="preserve"> (</w:t>
      </w:r>
      <w:r w:rsidR="00F2005C">
        <w:t>Germany, France, Japan or Switzerland.</w:t>
      </w:r>
      <w:r>
        <w:t>)</w:t>
      </w:r>
    </w:p>
    <w:p w14:paraId="1CCF2E42" w14:textId="01A73B5C" w:rsidR="00F2005C" w:rsidRDefault="00F2005C" w:rsidP="004E604E">
      <w:pPr>
        <w:pStyle w:val="ListParagraph"/>
        <w:numPr>
          <w:ilvl w:val="0"/>
          <w:numId w:val="6"/>
        </w:numPr>
        <w:spacing w:line="240" w:lineRule="auto"/>
      </w:pPr>
      <w:r>
        <w:lastRenderedPageBreak/>
        <w:t>How does the U.S. compare to other countries in terms of cost? In terms of effectiveness? What are some possible explanations for this?</w:t>
      </w:r>
    </w:p>
    <w:p w14:paraId="68542898" w14:textId="1A39BA2C" w:rsidR="00FA435F" w:rsidRPr="00FA435F" w:rsidRDefault="00F2005C" w:rsidP="004E604E">
      <w:pPr>
        <w:pStyle w:val="ListParagraph"/>
        <w:numPr>
          <w:ilvl w:val="0"/>
          <w:numId w:val="6"/>
        </w:numPr>
        <w:spacing w:line="240" w:lineRule="auto"/>
      </w:pPr>
      <w:r>
        <w:t>If you had complete freedom to reform the health care system (and didn’t need to worry about “politics”), what sort of system would you choose to adopt? Why?</w:t>
      </w:r>
      <w:r w:rsidR="003A68E1">
        <w:t xml:space="preserve"> Defend your answer using some of the principles we’ve been studying in class (especially justice and beneficence).</w:t>
      </w:r>
    </w:p>
    <w:sectPr w:rsidR="00FA435F" w:rsidRPr="00FA435F" w:rsidSect="00FA435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9E707" w14:textId="77777777" w:rsidR="0019222A" w:rsidRDefault="0019222A" w:rsidP="0019222A">
      <w:pPr>
        <w:spacing w:before="0" w:after="0" w:line="240" w:lineRule="auto"/>
      </w:pPr>
      <w:r>
        <w:separator/>
      </w:r>
    </w:p>
  </w:endnote>
  <w:endnote w:type="continuationSeparator" w:id="0">
    <w:p w14:paraId="395BF34A" w14:textId="77777777" w:rsidR="0019222A" w:rsidRDefault="0019222A" w:rsidP="00192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BFB99" w14:textId="77777777" w:rsidR="0019222A" w:rsidRDefault="0019222A" w:rsidP="0019222A">
      <w:pPr>
        <w:spacing w:before="0" w:after="0" w:line="240" w:lineRule="auto"/>
      </w:pPr>
      <w:r>
        <w:separator/>
      </w:r>
    </w:p>
  </w:footnote>
  <w:footnote w:type="continuationSeparator" w:id="0">
    <w:p w14:paraId="2908FA3C" w14:textId="77777777" w:rsidR="0019222A" w:rsidRDefault="0019222A" w:rsidP="0019222A">
      <w:pPr>
        <w:spacing w:before="0" w:after="0" w:line="240" w:lineRule="auto"/>
      </w:pPr>
      <w:r>
        <w:continuationSeparator/>
      </w:r>
    </w:p>
  </w:footnote>
  <w:footnote w:id="1">
    <w:p w14:paraId="7C527CC4" w14:textId="62109AAC" w:rsidR="0019222A" w:rsidRDefault="0019222A">
      <w:pPr>
        <w:pStyle w:val="FootnoteText"/>
      </w:pPr>
      <w:r>
        <w:rPr>
          <w:rStyle w:val="FootnoteReference"/>
        </w:rPr>
        <w:footnoteRef/>
      </w:r>
      <w:r>
        <w:t xml:space="preserve"> </w:t>
      </w:r>
      <w:r>
        <w:fldChar w:fldCharType="begin"/>
      </w:r>
      <w:r>
        <w:instrText xml:space="preserve"> ADDIN ZOTERO_ITEM CSL_CITATION {"citationID":"AwkOajyI","properties":{"formattedCitation":"Commonwealth Fund, \\uc0\\u8220{}Mirror, Mirror 2017: International Comparison Reflects Flaws and Opportunities for Better U.S. Health Care,\\uc0\\u8221{} accessed June 4, 2019, http://www.commonwealthfund.org/interactives/2017/july/mirror-mirror/.","plainCitation":"Commonwealth Fund, “Mirror, Mirror 2017: International Comparison Reflects Flaws and Opportunities for Better U.S. Health Care,” accessed June 4, 2019, http://www.commonwealthfund.org/interactives/2017/july/mirror-mirror/.","noteIndex":1},"citationItems":[{"id":2054,"uris":["http://zotero.org/users/1522585/items/V6WADAYX"],"uri":["http://zotero.org/users/1522585/items/V6WADAYX"],"itemData":{"id":2054,"type":"webpage","title":"Mirror, Mirror 2017: International Comparison Reflects Flaws and Opportunities for Better U.S. Health Care","abstract":"In the United States—more than in 11 other wealthy countries—the health care you receive varies with your level of income, according to a new Commonwealth Fund report.","URL":"http://www.commonwealthfund.org/interactives/2017/july/mirror-mirror/","title-short":"Mirror, Mirror 2017","author":[{"family":"Commonwealth Fund","given":""}],"accessed":{"date-parts":[["2019",6,4]]}}}],"schema":"https://github.com/citation-style-language/schema/raw/master/csl-citation.json"} </w:instrText>
      </w:r>
      <w:r>
        <w:fldChar w:fldCharType="separate"/>
      </w:r>
      <w:r w:rsidRPr="0019222A">
        <w:rPr>
          <w:rFonts w:ascii="Garamond" w:hAnsi="Garamond" w:cs="Times New Roman"/>
          <w:szCs w:val="24"/>
        </w:rPr>
        <w:t>Commonwealth Fund, “Mirror, Mirror 2017: International Comparison Reflects Flaws and Opportunities for Better U.S. Health Care,” accessed June 4, 2019, http://www.commonwealthfund.org/interactives/2017/july/mirror-mirror/.</w:t>
      </w:r>
      <w:r>
        <w:fldChar w:fldCharType="end"/>
      </w:r>
    </w:p>
  </w:footnote>
  <w:footnote w:id="2">
    <w:p w14:paraId="1FC1D688" w14:textId="065CC33E" w:rsidR="0019222A" w:rsidRDefault="0019222A">
      <w:pPr>
        <w:pStyle w:val="FootnoteText"/>
      </w:pPr>
      <w:r>
        <w:rPr>
          <w:rStyle w:val="FootnoteReference"/>
        </w:rPr>
        <w:footnoteRef/>
      </w:r>
      <w:r>
        <w:t xml:space="preserve"> </w:t>
      </w:r>
      <w:r>
        <w:fldChar w:fldCharType="begin"/>
      </w:r>
      <w:r w:rsidR="004E604E">
        <w:instrText xml:space="preserve"> ADDIN ZOTERO_ITEM CSL_CITATION {"citationID":"7ih7bW3O","properties":{"formattedCitation":"T. R. Reid, {\\i{}The Healing of America: A Global Quest for Better, Cheaper, and Fairer Health Care} (Penguin, 2010).","plainCitation":"T. R. Reid, The Healing of America: A Global Quest for Better, Cheaper, and Fairer Health Care (Penguin, 2010).","noteIndex":2},"citationItems":[{"id":2173,"uris":["http://zotero.org/users/1522585/items/PMIPEUAH"],"uri":["http://zotero.org/users/1522585/items/PMIPEUAH"],"itemData":{"id":2173,"type":"book","title":"The Healing of America: A Global Quest for Better, Cheaper, and Fairer Health Care","publisher":"Penguin","number-of-pages":"306","source":"Google Books","abstract":"A New York Times Bestseller With an Explanation of the 2010 Health Reform Bill  Bringing to bear his talent for explaining complex issues in a clear, engaging way, New York Times bestselling author T. R. Reid visits industrialized democracies around the world--France, Britain, Germany, Japan, and beyond--to provide a revelatory tour of successful, affordable universal health care systems. Now updated with new statistics and a plain-English explanation of the 2010 health care reform bill, The Healing of America is required reading for all those hoping to understand the state of health care in our country, and around the world.","ISBN":"978-0-14-311821-3","note":"Google-Books-ID: OLqLDgAAQBAJ","title-short":"The Healing of America","language":"en","author":[{"family":"Reid","given":"T. R."}],"issued":{"date-parts":[["2010"]]}}}],"schema":"https://github.com/citation-style-language/schema/raw/master/csl-citation.json"} </w:instrText>
      </w:r>
      <w:r>
        <w:fldChar w:fldCharType="separate"/>
      </w:r>
      <w:r w:rsidRPr="0019222A">
        <w:rPr>
          <w:rFonts w:ascii="Garamond" w:hAnsi="Garamond" w:cs="Times New Roman"/>
          <w:szCs w:val="24"/>
        </w:rPr>
        <w:t xml:space="preserve">T. R. Reid, </w:t>
      </w:r>
      <w:r w:rsidRPr="0019222A">
        <w:rPr>
          <w:rFonts w:ascii="Garamond" w:hAnsi="Garamond" w:cs="Times New Roman"/>
          <w:i/>
          <w:iCs/>
          <w:szCs w:val="24"/>
        </w:rPr>
        <w:t>The Healing of America: A Global Quest for Better, Cheaper, and Fairer Health Care</w:t>
      </w:r>
      <w:r w:rsidRPr="0019222A">
        <w:rPr>
          <w:rFonts w:ascii="Garamond" w:hAnsi="Garamond" w:cs="Times New Roman"/>
          <w:szCs w:val="24"/>
        </w:rPr>
        <w:t xml:space="preserve"> (Penguin, 2010).</w:t>
      </w:r>
      <w:r>
        <w:fldChar w:fldCharType="end"/>
      </w:r>
    </w:p>
  </w:footnote>
  <w:footnote w:id="3">
    <w:p w14:paraId="3844C01A" w14:textId="629611D5" w:rsidR="0019222A" w:rsidRDefault="0019222A">
      <w:pPr>
        <w:pStyle w:val="FootnoteText"/>
      </w:pPr>
      <w:r>
        <w:rPr>
          <w:rStyle w:val="FootnoteReference"/>
        </w:rPr>
        <w:footnoteRef/>
      </w:r>
      <w:r>
        <w:t xml:space="preserve"> </w:t>
      </w:r>
      <w:r>
        <w:fldChar w:fldCharType="begin"/>
      </w:r>
      <w:r w:rsidR="004E604E">
        <w:instrText xml:space="preserve"> ADDIN ZOTERO_ITEM CSL_CITATION {"citationID":"H3oSRZfL","properties":{"formattedCitation":"OECD, \\uc0\\u8220{}OECD Health Statistics 2018,\\uc0\\u8221{} accessed June 4, 2019, http://www.oecd.org/els/health-systems/health-data.htm.","plainCitation":"OECD, “OECD Health Statistics 2018,” accessed June 4, 2019, http://www.oecd.org/els/health-systems/health-data.htm.","noteIndex":3},"citationItems":[{"id":2052,"uris":["http://zotero.org/users/1522585/items/74FKLBA7"],"uri":["http://zotero.org/users/1522585/items/74FKLBA7"],"itemData":{"id":2052,"type":"webpage","title":"OECD Health Statistics 2018","abstract":"OECD Health Statistics 2018 is the most comprehensive source of comparable statistics on health and health systems across OECD countries. All datasets have been updated on 8 November 2018.","URL":"http://www.oecd.org/els/health-systems/health-data.htm","author":[{"literal":"OECD"}],"accessed":{"date-parts":[["2019",6,4]]}}}],"schema":"https://github.com/citation-style-language/schema/raw/master/csl-citation.json"} </w:instrText>
      </w:r>
      <w:r>
        <w:fldChar w:fldCharType="separate"/>
      </w:r>
      <w:r w:rsidRPr="0019222A">
        <w:rPr>
          <w:rFonts w:ascii="Garamond" w:hAnsi="Garamond" w:cs="Times New Roman"/>
          <w:szCs w:val="24"/>
        </w:rPr>
        <w:t>OECD, “OECD Health Statistics 2018,” accessed June 4, 2019, http://www.oecd.org/els/health-systems/health-data.htm.</w:t>
      </w:r>
      <w:r>
        <w:fldChar w:fldCharType="end"/>
      </w:r>
    </w:p>
  </w:footnote>
  <w:footnote w:id="4">
    <w:p w14:paraId="4435EB58" w14:textId="4DF14681" w:rsidR="0019222A" w:rsidRDefault="0019222A">
      <w:pPr>
        <w:pStyle w:val="FootnoteText"/>
      </w:pPr>
      <w:r>
        <w:rPr>
          <w:rStyle w:val="FootnoteReference"/>
        </w:rPr>
        <w:footnoteRef/>
      </w:r>
      <w:r>
        <w:t xml:space="preserve"> </w:t>
      </w:r>
      <w:r>
        <w:fldChar w:fldCharType="begin"/>
      </w:r>
      <w:r w:rsidR="004E604E">
        <w:instrText xml:space="preserve"> ADDIN ZOTERO_ITEM CSL_CITATION {"citationID":"IltsANsA","properties":{"formattedCitation":"Lee J Miller and Wei Lu, \\uc0\\u8220{}These Are the Economies With the Most (and Least) Efficient Health Care,\\uc0\\u8221{} September 19, 2018, https://www.bloomberg.com/news/articles/2018-09-19/u-s-near-bottom-of-health-index-hong-kong-and-singapore-at-top.","plainCitation":"Lee J Miller and Wei Lu, “These Are the Economies With the Most (and Least) Efficient Health Care,” September 19, 2018, https://www.bloomberg.com/news/articles/2018-09-19/u-s-near-bottom-of-health-index-hong-kong-and-singapore-at-top.","noteIndex":4},"citationItems":[{"id":2175,"uris":["http://zotero.org/users/1522585/items/AEJA9YMW"],"uri":["http://zotero.org/users/1522585/items/AEJA9YMW"],"itemData":{"id":2175,"type":"article-newspaper","title":"These Are the Economies With the Most (and Least) Efficient Health Care","source":"www.bloomberg.com","abstract":"Want medical care without quickly draining your fortune? Try Singapore or Hong Kong as your healthy havens.","URL":"https://www.bloomberg.com/news/articles/2018-09-19/u-s-near-bottom-of-health-index-hong-kong-and-singapore-at-top","language":"en","author":[{"literal":"Lee J Miller"},{"literal":"Wei Lu"}],"issued":{"date-parts":[["2018",9,19]]},"accessed":{"date-parts":[["2019",6,10]]}}}],"schema":"https://github.com/citation-style-language/schema/raw/master/csl-citation.json"} </w:instrText>
      </w:r>
      <w:r>
        <w:fldChar w:fldCharType="separate"/>
      </w:r>
      <w:r w:rsidR="004E604E" w:rsidRPr="004E604E">
        <w:rPr>
          <w:rFonts w:ascii="Garamond" w:hAnsi="Garamond" w:cs="Times New Roman"/>
          <w:szCs w:val="24"/>
        </w:rPr>
        <w:t xml:space="preserve">Lee J Miller and Wei Lu, “These Are the Economies </w:t>
      </w:r>
      <w:proofErr w:type="gramStart"/>
      <w:r w:rsidR="004E604E" w:rsidRPr="004E604E">
        <w:rPr>
          <w:rFonts w:ascii="Garamond" w:hAnsi="Garamond" w:cs="Times New Roman"/>
          <w:szCs w:val="24"/>
        </w:rPr>
        <w:t>With</w:t>
      </w:r>
      <w:proofErr w:type="gramEnd"/>
      <w:r w:rsidR="004E604E" w:rsidRPr="004E604E">
        <w:rPr>
          <w:rFonts w:ascii="Garamond" w:hAnsi="Garamond" w:cs="Times New Roman"/>
          <w:szCs w:val="24"/>
        </w:rPr>
        <w:t xml:space="preserve"> the Most (and Least) Efficient Health Care,” September 19, 2018, https://www.bloomberg.com/news/articles/2018-09-19/u-s-near-bottom-of-health-index-hong-kong-and-singapore-at-top.</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7ECE"/>
    <w:multiLevelType w:val="hybridMultilevel"/>
    <w:tmpl w:val="1EECB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430F8"/>
    <w:multiLevelType w:val="hybridMultilevel"/>
    <w:tmpl w:val="8D6E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C0A97"/>
    <w:multiLevelType w:val="hybridMultilevel"/>
    <w:tmpl w:val="E834C0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8300B6"/>
    <w:multiLevelType w:val="hybridMultilevel"/>
    <w:tmpl w:val="0A00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75EA3"/>
    <w:multiLevelType w:val="hybridMultilevel"/>
    <w:tmpl w:val="CC0A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22742"/>
    <w:multiLevelType w:val="hybridMultilevel"/>
    <w:tmpl w:val="AD14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E1759"/>
    <w:multiLevelType w:val="hybridMultilevel"/>
    <w:tmpl w:val="CCB84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D39"/>
    <w:rsid w:val="00005236"/>
    <w:rsid w:val="000155A3"/>
    <w:rsid w:val="000334AD"/>
    <w:rsid w:val="0003481B"/>
    <w:rsid w:val="000504FA"/>
    <w:rsid w:val="000512CF"/>
    <w:rsid w:val="00082615"/>
    <w:rsid w:val="000827BB"/>
    <w:rsid w:val="000830F5"/>
    <w:rsid w:val="0008786A"/>
    <w:rsid w:val="0009026B"/>
    <w:rsid w:val="000933F8"/>
    <w:rsid w:val="000B1FBC"/>
    <w:rsid w:val="000C4418"/>
    <w:rsid w:val="000C4DF8"/>
    <w:rsid w:val="000E484C"/>
    <w:rsid w:val="000E6AB5"/>
    <w:rsid w:val="000F2D6E"/>
    <w:rsid w:val="000F3155"/>
    <w:rsid w:val="000F32F5"/>
    <w:rsid w:val="0010094A"/>
    <w:rsid w:val="00102B62"/>
    <w:rsid w:val="00110AF4"/>
    <w:rsid w:val="00134925"/>
    <w:rsid w:val="00136D26"/>
    <w:rsid w:val="0014126D"/>
    <w:rsid w:val="0015519A"/>
    <w:rsid w:val="00163C25"/>
    <w:rsid w:val="001678E5"/>
    <w:rsid w:val="001819F3"/>
    <w:rsid w:val="0019222A"/>
    <w:rsid w:val="001B1ABB"/>
    <w:rsid w:val="001C2EB3"/>
    <w:rsid w:val="001D0E83"/>
    <w:rsid w:val="001D4FD6"/>
    <w:rsid w:val="001D75CF"/>
    <w:rsid w:val="001E7B88"/>
    <w:rsid w:val="001F3E55"/>
    <w:rsid w:val="001F56B2"/>
    <w:rsid w:val="00200C82"/>
    <w:rsid w:val="002065F4"/>
    <w:rsid w:val="00222FD5"/>
    <w:rsid w:val="002241B4"/>
    <w:rsid w:val="00240A30"/>
    <w:rsid w:val="00241371"/>
    <w:rsid w:val="00275C85"/>
    <w:rsid w:val="00277B1C"/>
    <w:rsid w:val="002A4E78"/>
    <w:rsid w:val="002A675D"/>
    <w:rsid w:val="002C05E5"/>
    <w:rsid w:val="002C2528"/>
    <w:rsid w:val="002C2D85"/>
    <w:rsid w:val="002C4672"/>
    <w:rsid w:val="002D3B05"/>
    <w:rsid w:val="002D4CAA"/>
    <w:rsid w:val="002F7468"/>
    <w:rsid w:val="00312149"/>
    <w:rsid w:val="00351ACC"/>
    <w:rsid w:val="00355C3A"/>
    <w:rsid w:val="00357101"/>
    <w:rsid w:val="00365810"/>
    <w:rsid w:val="003800B9"/>
    <w:rsid w:val="00380C88"/>
    <w:rsid w:val="003869A2"/>
    <w:rsid w:val="00387018"/>
    <w:rsid w:val="00394740"/>
    <w:rsid w:val="003A13B0"/>
    <w:rsid w:val="003A2183"/>
    <w:rsid w:val="003A68E1"/>
    <w:rsid w:val="003A717C"/>
    <w:rsid w:val="003B5F14"/>
    <w:rsid w:val="003E2774"/>
    <w:rsid w:val="00417A89"/>
    <w:rsid w:val="0042313A"/>
    <w:rsid w:val="0043083B"/>
    <w:rsid w:val="00435512"/>
    <w:rsid w:val="00440C78"/>
    <w:rsid w:val="00443EF6"/>
    <w:rsid w:val="00454B7B"/>
    <w:rsid w:val="00454F54"/>
    <w:rsid w:val="00457BCD"/>
    <w:rsid w:val="004776CB"/>
    <w:rsid w:val="004779F7"/>
    <w:rsid w:val="0048254D"/>
    <w:rsid w:val="00484CC9"/>
    <w:rsid w:val="004941EF"/>
    <w:rsid w:val="004A4F6A"/>
    <w:rsid w:val="004B727A"/>
    <w:rsid w:val="004C5551"/>
    <w:rsid w:val="004C6DAA"/>
    <w:rsid w:val="004C7EA2"/>
    <w:rsid w:val="004D2CBE"/>
    <w:rsid w:val="004E5108"/>
    <w:rsid w:val="004E604E"/>
    <w:rsid w:val="004F0640"/>
    <w:rsid w:val="004F6685"/>
    <w:rsid w:val="004F75E1"/>
    <w:rsid w:val="005019AF"/>
    <w:rsid w:val="00510E22"/>
    <w:rsid w:val="005222A4"/>
    <w:rsid w:val="00541CD8"/>
    <w:rsid w:val="00543829"/>
    <w:rsid w:val="00554583"/>
    <w:rsid w:val="0056163D"/>
    <w:rsid w:val="00563581"/>
    <w:rsid w:val="00564201"/>
    <w:rsid w:val="00574A93"/>
    <w:rsid w:val="0058226B"/>
    <w:rsid w:val="005859C8"/>
    <w:rsid w:val="005A67A9"/>
    <w:rsid w:val="005A7B8C"/>
    <w:rsid w:val="005B239E"/>
    <w:rsid w:val="005B6566"/>
    <w:rsid w:val="005C5439"/>
    <w:rsid w:val="005C5EBA"/>
    <w:rsid w:val="005D4652"/>
    <w:rsid w:val="005E7870"/>
    <w:rsid w:val="005F4C57"/>
    <w:rsid w:val="00606659"/>
    <w:rsid w:val="0061336A"/>
    <w:rsid w:val="0062229F"/>
    <w:rsid w:val="00623B4D"/>
    <w:rsid w:val="00635566"/>
    <w:rsid w:val="00641BAF"/>
    <w:rsid w:val="0064291F"/>
    <w:rsid w:val="00660132"/>
    <w:rsid w:val="00663E78"/>
    <w:rsid w:val="00672112"/>
    <w:rsid w:val="00674876"/>
    <w:rsid w:val="00695EF7"/>
    <w:rsid w:val="006C4E66"/>
    <w:rsid w:val="006D6D0A"/>
    <w:rsid w:val="006E3E2D"/>
    <w:rsid w:val="00704295"/>
    <w:rsid w:val="00706FCA"/>
    <w:rsid w:val="007072DD"/>
    <w:rsid w:val="00721369"/>
    <w:rsid w:val="007224C8"/>
    <w:rsid w:val="00723E1E"/>
    <w:rsid w:val="00732103"/>
    <w:rsid w:val="0073609D"/>
    <w:rsid w:val="0073789A"/>
    <w:rsid w:val="00742581"/>
    <w:rsid w:val="00745F26"/>
    <w:rsid w:val="0075444B"/>
    <w:rsid w:val="007568A7"/>
    <w:rsid w:val="00756D06"/>
    <w:rsid w:val="00760D17"/>
    <w:rsid w:val="00764D96"/>
    <w:rsid w:val="00765411"/>
    <w:rsid w:val="00777F5C"/>
    <w:rsid w:val="0078674A"/>
    <w:rsid w:val="00792D39"/>
    <w:rsid w:val="00793E0B"/>
    <w:rsid w:val="00794873"/>
    <w:rsid w:val="00795E6F"/>
    <w:rsid w:val="00797AAC"/>
    <w:rsid w:val="007B2439"/>
    <w:rsid w:val="007B78A9"/>
    <w:rsid w:val="007C28CB"/>
    <w:rsid w:val="007D109F"/>
    <w:rsid w:val="007D442F"/>
    <w:rsid w:val="007E05D3"/>
    <w:rsid w:val="007E4EF3"/>
    <w:rsid w:val="007E6220"/>
    <w:rsid w:val="007F1FB7"/>
    <w:rsid w:val="00803523"/>
    <w:rsid w:val="00803873"/>
    <w:rsid w:val="00810EA5"/>
    <w:rsid w:val="00812BE7"/>
    <w:rsid w:val="00817D12"/>
    <w:rsid w:val="008244D1"/>
    <w:rsid w:val="00824A72"/>
    <w:rsid w:val="00825BBC"/>
    <w:rsid w:val="0083098E"/>
    <w:rsid w:val="00833318"/>
    <w:rsid w:val="00835186"/>
    <w:rsid w:val="008424FA"/>
    <w:rsid w:val="008471C7"/>
    <w:rsid w:val="00847DDE"/>
    <w:rsid w:val="00875F2E"/>
    <w:rsid w:val="00883447"/>
    <w:rsid w:val="00885577"/>
    <w:rsid w:val="00891579"/>
    <w:rsid w:val="00896B50"/>
    <w:rsid w:val="008A13D2"/>
    <w:rsid w:val="008B12AE"/>
    <w:rsid w:val="008B767F"/>
    <w:rsid w:val="008D274C"/>
    <w:rsid w:val="008D3A83"/>
    <w:rsid w:val="008D76A9"/>
    <w:rsid w:val="008E44C9"/>
    <w:rsid w:val="008F27D6"/>
    <w:rsid w:val="008F79CC"/>
    <w:rsid w:val="00904DBA"/>
    <w:rsid w:val="0090643C"/>
    <w:rsid w:val="00916260"/>
    <w:rsid w:val="0092354A"/>
    <w:rsid w:val="009310CC"/>
    <w:rsid w:val="009376DD"/>
    <w:rsid w:val="0095675C"/>
    <w:rsid w:val="00964484"/>
    <w:rsid w:val="00965958"/>
    <w:rsid w:val="009933E8"/>
    <w:rsid w:val="009B0ED1"/>
    <w:rsid w:val="009B4BE1"/>
    <w:rsid w:val="009B6771"/>
    <w:rsid w:val="009B7215"/>
    <w:rsid w:val="009C10B9"/>
    <w:rsid w:val="009C4787"/>
    <w:rsid w:val="009C6585"/>
    <w:rsid w:val="009C7277"/>
    <w:rsid w:val="009C7300"/>
    <w:rsid w:val="009F1CBB"/>
    <w:rsid w:val="00A13A27"/>
    <w:rsid w:val="00A350F7"/>
    <w:rsid w:val="00A54C75"/>
    <w:rsid w:val="00A635C3"/>
    <w:rsid w:val="00A73A6F"/>
    <w:rsid w:val="00A773C5"/>
    <w:rsid w:val="00AB4965"/>
    <w:rsid w:val="00AB5427"/>
    <w:rsid w:val="00AD16E9"/>
    <w:rsid w:val="00AF6E97"/>
    <w:rsid w:val="00B0180D"/>
    <w:rsid w:val="00B03DA3"/>
    <w:rsid w:val="00B111E7"/>
    <w:rsid w:val="00B11C8E"/>
    <w:rsid w:val="00B13800"/>
    <w:rsid w:val="00B17AE7"/>
    <w:rsid w:val="00B21CE5"/>
    <w:rsid w:val="00B2570B"/>
    <w:rsid w:val="00B35B83"/>
    <w:rsid w:val="00B608B4"/>
    <w:rsid w:val="00B62D07"/>
    <w:rsid w:val="00B65766"/>
    <w:rsid w:val="00B75119"/>
    <w:rsid w:val="00B95D24"/>
    <w:rsid w:val="00BA5167"/>
    <w:rsid w:val="00BC3B54"/>
    <w:rsid w:val="00BC56A2"/>
    <w:rsid w:val="00BE1219"/>
    <w:rsid w:val="00BE28F3"/>
    <w:rsid w:val="00BF4609"/>
    <w:rsid w:val="00BF6B79"/>
    <w:rsid w:val="00C035CB"/>
    <w:rsid w:val="00C06895"/>
    <w:rsid w:val="00C124D5"/>
    <w:rsid w:val="00C12CAC"/>
    <w:rsid w:val="00C14981"/>
    <w:rsid w:val="00C15761"/>
    <w:rsid w:val="00C1614E"/>
    <w:rsid w:val="00C17524"/>
    <w:rsid w:val="00C26438"/>
    <w:rsid w:val="00C33C23"/>
    <w:rsid w:val="00C3496D"/>
    <w:rsid w:val="00C34C93"/>
    <w:rsid w:val="00C43051"/>
    <w:rsid w:val="00C45357"/>
    <w:rsid w:val="00C52959"/>
    <w:rsid w:val="00C56B8C"/>
    <w:rsid w:val="00C6135C"/>
    <w:rsid w:val="00C64C49"/>
    <w:rsid w:val="00C64F5E"/>
    <w:rsid w:val="00C67CFC"/>
    <w:rsid w:val="00C757FF"/>
    <w:rsid w:val="00C8325C"/>
    <w:rsid w:val="00C923E1"/>
    <w:rsid w:val="00CA65A4"/>
    <w:rsid w:val="00CF6962"/>
    <w:rsid w:val="00D0766C"/>
    <w:rsid w:val="00D12976"/>
    <w:rsid w:val="00D12CAE"/>
    <w:rsid w:val="00D14A4E"/>
    <w:rsid w:val="00D35306"/>
    <w:rsid w:val="00D50DCF"/>
    <w:rsid w:val="00D6502B"/>
    <w:rsid w:val="00D7094E"/>
    <w:rsid w:val="00D71BF8"/>
    <w:rsid w:val="00D71C2E"/>
    <w:rsid w:val="00D74501"/>
    <w:rsid w:val="00D81FAA"/>
    <w:rsid w:val="00D82E3D"/>
    <w:rsid w:val="00DB4EE5"/>
    <w:rsid w:val="00E00459"/>
    <w:rsid w:val="00E06AAB"/>
    <w:rsid w:val="00E102F1"/>
    <w:rsid w:val="00E17685"/>
    <w:rsid w:val="00E21FCB"/>
    <w:rsid w:val="00E262C6"/>
    <w:rsid w:val="00E500BB"/>
    <w:rsid w:val="00E51D5C"/>
    <w:rsid w:val="00E54869"/>
    <w:rsid w:val="00E56ED4"/>
    <w:rsid w:val="00E649E7"/>
    <w:rsid w:val="00E71305"/>
    <w:rsid w:val="00E76C39"/>
    <w:rsid w:val="00E90B49"/>
    <w:rsid w:val="00E93C9D"/>
    <w:rsid w:val="00E95FE4"/>
    <w:rsid w:val="00EA43C0"/>
    <w:rsid w:val="00EB295D"/>
    <w:rsid w:val="00EB46D9"/>
    <w:rsid w:val="00EC029F"/>
    <w:rsid w:val="00EC7010"/>
    <w:rsid w:val="00ED6FDB"/>
    <w:rsid w:val="00EE0AB9"/>
    <w:rsid w:val="00EE2ACC"/>
    <w:rsid w:val="00EE605C"/>
    <w:rsid w:val="00EE6EBD"/>
    <w:rsid w:val="00EE781A"/>
    <w:rsid w:val="00EF1F08"/>
    <w:rsid w:val="00F014EC"/>
    <w:rsid w:val="00F06731"/>
    <w:rsid w:val="00F2005C"/>
    <w:rsid w:val="00F34E5E"/>
    <w:rsid w:val="00F44C13"/>
    <w:rsid w:val="00F456F5"/>
    <w:rsid w:val="00F50CE0"/>
    <w:rsid w:val="00F527DC"/>
    <w:rsid w:val="00F706C1"/>
    <w:rsid w:val="00F72018"/>
    <w:rsid w:val="00FA435F"/>
    <w:rsid w:val="00FA56DA"/>
    <w:rsid w:val="00FA6D7E"/>
    <w:rsid w:val="00FB3AA0"/>
    <w:rsid w:val="00FB424D"/>
    <w:rsid w:val="00FC0645"/>
    <w:rsid w:val="00FD08DC"/>
    <w:rsid w:val="00FE2B1C"/>
    <w:rsid w:val="00FE3771"/>
    <w:rsid w:val="00FE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1BFED"/>
  <w15:chartTrackingRefBased/>
  <w15:docId w15:val="{DC873A12-BF9C-4CEA-BC66-FBFA2304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8CB"/>
  </w:style>
  <w:style w:type="paragraph" w:styleId="Heading1">
    <w:name w:val="heading 1"/>
    <w:basedOn w:val="Normal"/>
    <w:next w:val="Normal"/>
    <w:link w:val="Heading1Char"/>
    <w:uiPriority w:val="9"/>
    <w:qFormat/>
    <w:rsid w:val="007C28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C28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C28C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C28C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C28C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C28C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C28C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C28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28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8C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C28C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C28CB"/>
    <w:rPr>
      <w:caps/>
      <w:color w:val="1F4D78" w:themeColor="accent1" w:themeShade="7F"/>
      <w:spacing w:val="15"/>
    </w:rPr>
  </w:style>
  <w:style w:type="character" w:customStyle="1" w:styleId="Heading4Char">
    <w:name w:val="Heading 4 Char"/>
    <w:basedOn w:val="DefaultParagraphFont"/>
    <w:link w:val="Heading4"/>
    <w:uiPriority w:val="9"/>
    <w:semiHidden/>
    <w:rsid w:val="007C28CB"/>
    <w:rPr>
      <w:caps/>
      <w:color w:val="2E74B5" w:themeColor="accent1" w:themeShade="BF"/>
      <w:spacing w:val="10"/>
    </w:rPr>
  </w:style>
  <w:style w:type="character" w:customStyle="1" w:styleId="Heading5Char">
    <w:name w:val="Heading 5 Char"/>
    <w:basedOn w:val="DefaultParagraphFont"/>
    <w:link w:val="Heading5"/>
    <w:uiPriority w:val="9"/>
    <w:semiHidden/>
    <w:rsid w:val="007C28CB"/>
    <w:rPr>
      <w:caps/>
      <w:color w:val="2E74B5" w:themeColor="accent1" w:themeShade="BF"/>
      <w:spacing w:val="10"/>
    </w:rPr>
  </w:style>
  <w:style w:type="character" w:customStyle="1" w:styleId="Heading6Char">
    <w:name w:val="Heading 6 Char"/>
    <w:basedOn w:val="DefaultParagraphFont"/>
    <w:link w:val="Heading6"/>
    <w:uiPriority w:val="9"/>
    <w:semiHidden/>
    <w:rsid w:val="007C28CB"/>
    <w:rPr>
      <w:caps/>
      <w:color w:val="2E74B5" w:themeColor="accent1" w:themeShade="BF"/>
      <w:spacing w:val="10"/>
    </w:rPr>
  </w:style>
  <w:style w:type="character" w:customStyle="1" w:styleId="Heading7Char">
    <w:name w:val="Heading 7 Char"/>
    <w:basedOn w:val="DefaultParagraphFont"/>
    <w:link w:val="Heading7"/>
    <w:uiPriority w:val="9"/>
    <w:semiHidden/>
    <w:rsid w:val="007C28CB"/>
    <w:rPr>
      <w:caps/>
      <w:color w:val="2E74B5" w:themeColor="accent1" w:themeShade="BF"/>
      <w:spacing w:val="10"/>
    </w:rPr>
  </w:style>
  <w:style w:type="character" w:customStyle="1" w:styleId="Heading8Char">
    <w:name w:val="Heading 8 Char"/>
    <w:basedOn w:val="DefaultParagraphFont"/>
    <w:link w:val="Heading8"/>
    <w:uiPriority w:val="9"/>
    <w:semiHidden/>
    <w:rsid w:val="007C28CB"/>
    <w:rPr>
      <w:caps/>
      <w:spacing w:val="10"/>
      <w:sz w:val="18"/>
      <w:szCs w:val="18"/>
    </w:rPr>
  </w:style>
  <w:style w:type="character" w:customStyle="1" w:styleId="Heading9Char">
    <w:name w:val="Heading 9 Char"/>
    <w:basedOn w:val="DefaultParagraphFont"/>
    <w:link w:val="Heading9"/>
    <w:uiPriority w:val="9"/>
    <w:semiHidden/>
    <w:rsid w:val="007C28CB"/>
    <w:rPr>
      <w:i/>
      <w:iCs/>
      <w:caps/>
      <w:spacing w:val="10"/>
      <w:sz w:val="18"/>
      <w:szCs w:val="18"/>
    </w:rPr>
  </w:style>
  <w:style w:type="paragraph" w:styleId="Caption">
    <w:name w:val="caption"/>
    <w:basedOn w:val="Normal"/>
    <w:next w:val="Normal"/>
    <w:uiPriority w:val="35"/>
    <w:semiHidden/>
    <w:unhideWhenUsed/>
    <w:qFormat/>
    <w:rsid w:val="007C28CB"/>
    <w:rPr>
      <w:b/>
      <w:bCs/>
      <w:color w:val="2E74B5" w:themeColor="accent1" w:themeShade="BF"/>
      <w:sz w:val="16"/>
      <w:szCs w:val="16"/>
    </w:rPr>
  </w:style>
  <w:style w:type="paragraph" w:styleId="Title">
    <w:name w:val="Title"/>
    <w:basedOn w:val="Normal"/>
    <w:next w:val="Normal"/>
    <w:link w:val="TitleChar"/>
    <w:uiPriority w:val="10"/>
    <w:qFormat/>
    <w:rsid w:val="007C28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C28C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C28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28CB"/>
    <w:rPr>
      <w:caps/>
      <w:color w:val="595959" w:themeColor="text1" w:themeTint="A6"/>
      <w:spacing w:val="10"/>
      <w:sz w:val="21"/>
      <w:szCs w:val="21"/>
    </w:rPr>
  </w:style>
  <w:style w:type="character" w:styleId="Strong">
    <w:name w:val="Strong"/>
    <w:uiPriority w:val="22"/>
    <w:qFormat/>
    <w:rsid w:val="007C28CB"/>
    <w:rPr>
      <w:b/>
      <w:bCs/>
    </w:rPr>
  </w:style>
  <w:style w:type="character" w:styleId="Emphasis">
    <w:name w:val="Emphasis"/>
    <w:uiPriority w:val="20"/>
    <w:qFormat/>
    <w:rsid w:val="007C28CB"/>
    <w:rPr>
      <w:caps/>
      <w:color w:val="1F4D78" w:themeColor="accent1" w:themeShade="7F"/>
      <w:spacing w:val="5"/>
    </w:rPr>
  </w:style>
  <w:style w:type="paragraph" w:styleId="NoSpacing">
    <w:name w:val="No Spacing"/>
    <w:uiPriority w:val="1"/>
    <w:qFormat/>
    <w:rsid w:val="007C28CB"/>
    <w:pPr>
      <w:spacing w:after="0" w:line="240" w:lineRule="auto"/>
    </w:pPr>
  </w:style>
  <w:style w:type="paragraph" w:styleId="Quote">
    <w:name w:val="Quote"/>
    <w:basedOn w:val="Normal"/>
    <w:next w:val="Normal"/>
    <w:link w:val="QuoteChar"/>
    <w:uiPriority w:val="29"/>
    <w:qFormat/>
    <w:rsid w:val="007C28CB"/>
    <w:rPr>
      <w:i/>
      <w:iCs/>
      <w:sz w:val="24"/>
      <w:szCs w:val="24"/>
    </w:rPr>
  </w:style>
  <w:style w:type="character" w:customStyle="1" w:styleId="QuoteChar">
    <w:name w:val="Quote Char"/>
    <w:basedOn w:val="DefaultParagraphFont"/>
    <w:link w:val="Quote"/>
    <w:uiPriority w:val="29"/>
    <w:rsid w:val="007C28CB"/>
    <w:rPr>
      <w:i/>
      <w:iCs/>
      <w:sz w:val="24"/>
      <w:szCs w:val="24"/>
    </w:rPr>
  </w:style>
  <w:style w:type="paragraph" w:styleId="IntenseQuote">
    <w:name w:val="Intense Quote"/>
    <w:basedOn w:val="Normal"/>
    <w:next w:val="Normal"/>
    <w:link w:val="IntenseQuoteChar"/>
    <w:uiPriority w:val="30"/>
    <w:qFormat/>
    <w:rsid w:val="007C28C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C28CB"/>
    <w:rPr>
      <w:color w:val="5B9BD5" w:themeColor="accent1"/>
      <w:sz w:val="24"/>
      <w:szCs w:val="24"/>
    </w:rPr>
  </w:style>
  <w:style w:type="character" w:styleId="SubtleEmphasis">
    <w:name w:val="Subtle Emphasis"/>
    <w:uiPriority w:val="19"/>
    <w:qFormat/>
    <w:rsid w:val="007C28CB"/>
    <w:rPr>
      <w:i/>
      <w:iCs/>
      <w:color w:val="1F4D78" w:themeColor="accent1" w:themeShade="7F"/>
    </w:rPr>
  </w:style>
  <w:style w:type="character" w:styleId="IntenseEmphasis">
    <w:name w:val="Intense Emphasis"/>
    <w:uiPriority w:val="21"/>
    <w:qFormat/>
    <w:rsid w:val="007C28CB"/>
    <w:rPr>
      <w:b/>
      <w:bCs/>
      <w:caps/>
      <w:color w:val="1F4D78" w:themeColor="accent1" w:themeShade="7F"/>
      <w:spacing w:val="10"/>
    </w:rPr>
  </w:style>
  <w:style w:type="character" w:styleId="SubtleReference">
    <w:name w:val="Subtle Reference"/>
    <w:uiPriority w:val="31"/>
    <w:qFormat/>
    <w:rsid w:val="007C28CB"/>
    <w:rPr>
      <w:b/>
      <w:bCs/>
      <w:color w:val="5B9BD5" w:themeColor="accent1"/>
    </w:rPr>
  </w:style>
  <w:style w:type="character" w:styleId="IntenseReference">
    <w:name w:val="Intense Reference"/>
    <w:uiPriority w:val="32"/>
    <w:qFormat/>
    <w:rsid w:val="007C28CB"/>
    <w:rPr>
      <w:b/>
      <w:bCs/>
      <w:i/>
      <w:iCs/>
      <w:caps/>
      <w:color w:val="5B9BD5" w:themeColor="accent1"/>
    </w:rPr>
  </w:style>
  <w:style w:type="character" w:styleId="BookTitle">
    <w:name w:val="Book Title"/>
    <w:uiPriority w:val="33"/>
    <w:qFormat/>
    <w:rsid w:val="007C28CB"/>
    <w:rPr>
      <w:b/>
      <w:bCs/>
      <w:i/>
      <w:iCs/>
      <w:spacing w:val="0"/>
    </w:rPr>
  </w:style>
  <w:style w:type="paragraph" w:styleId="TOCHeading">
    <w:name w:val="TOC Heading"/>
    <w:basedOn w:val="Heading1"/>
    <w:next w:val="Normal"/>
    <w:uiPriority w:val="39"/>
    <w:semiHidden/>
    <w:unhideWhenUsed/>
    <w:qFormat/>
    <w:rsid w:val="007C28CB"/>
    <w:pPr>
      <w:outlineLvl w:val="9"/>
    </w:pPr>
  </w:style>
  <w:style w:type="table" w:styleId="TableGrid">
    <w:name w:val="Table Grid"/>
    <w:basedOn w:val="TableNormal"/>
    <w:uiPriority w:val="39"/>
    <w:rsid w:val="00F720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608B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FA6D7E"/>
    <w:rPr>
      <w:color w:val="0000FF"/>
      <w:u w:val="single"/>
    </w:rPr>
  </w:style>
  <w:style w:type="paragraph" w:styleId="ListParagraph">
    <w:name w:val="List Paragraph"/>
    <w:basedOn w:val="Normal"/>
    <w:uiPriority w:val="34"/>
    <w:qFormat/>
    <w:rsid w:val="00D35306"/>
    <w:pPr>
      <w:ind w:left="720"/>
      <w:contextualSpacing/>
    </w:pPr>
  </w:style>
  <w:style w:type="paragraph" w:styleId="BalloonText">
    <w:name w:val="Balloon Text"/>
    <w:basedOn w:val="Normal"/>
    <w:link w:val="BalloonTextChar"/>
    <w:uiPriority w:val="99"/>
    <w:semiHidden/>
    <w:unhideWhenUsed/>
    <w:rsid w:val="00A350F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0F7"/>
    <w:rPr>
      <w:rFonts w:ascii="Segoe UI" w:hAnsi="Segoe UI" w:cs="Segoe UI"/>
      <w:sz w:val="18"/>
      <w:szCs w:val="18"/>
    </w:rPr>
  </w:style>
  <w:style w:type="paragraph" w:styleId="FootnoteText">
    <w:name w:val="footnote text"/>
    <w:basedOn w:val="Normal"/>
    <w:link w:val="FootnoteTextChar"/>
    <w:uiPriority w:val="99"/>
    <w:semiHidden/>
    <w:unhideWhenUsed/>
    <w:rsid w:val="0019222A"/>
    <w:pPr>
      <w:spacing w:before="0" w:after="0" w:line="240" w:lineRule="auto"/>
    </w:pPr>
  </w:style>
  <w:style w:type="character" w:customStyle="1" w:styleId="FootnoteTextChar">
    <w:name w:val="Footnote Text Char"/>
    <w:basedOn w:val="DefaultParagraphFont"/>
    <w:link w:val="FootnoteText"/>
    <w:uiPriority w:val="99"/>
    <w:semiHidden/>
    <w:rsid w:val="0019222A"/>
  </w:style>
  <w:style w:type="character" w:styleId="FootnoteReference">
    <w:name w:val="footnote reference"/>
    <w:basedOn w:val="DefaultParagraphFont"/>
    <w:uiPriority w:val="99"/>
    <w:semiHidden/>
    <w:unhideWhenUsed/>
    <w:rsid w:val="001922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3537">
      <w:bodyDiv w:val="1"/>
      <w:marLeft w:val="0"/>
      <w:marRight w:val="0"/>
      <w:marTop w:val="0"/>
      <w:marBottom w:val="0"/>
      <w:divBdr>
        <w:top w:val="none" w:sz="0" w:space="0" w:color="auto"/>
        <w:left w:val="none" w:sz="0" w:space="0" w:color="auto"/>
        <w:bottom w:val="none" w:sz="0" w:space="0" w:color="auto"/>
        <w:right w:val="none" w:sz="0" w:space="0" w:color="auto"/>
      </w:divBdr>
      <w:divsChild>
        <w:div w:id="948782182">
          <w:marLeft w:val="0"/>
          <w:marRight w:val="0"/>
          <w:marTop w:val="0"/>
          <w:marBottom w:val="0"/>
          <w:divBdr>
            <w:top w:val="none" w:sz="0" w:space="0" w:color="auto"/>
            <w:left w:val="none" w:sz="0" w:space="0" w:color="auto"/>
            <w:bottom w:val="none" w:sz="0" w:space="0" w:color="auto"/>
            <w:right w:val="none" w:sz="0" w:space="0" w:color="auto"/>
          </w:divBdr>
          <w:divsChild>
            <w:div w:id="1997417050">
              <w:marLeft w:val="0"/>
              <w:marRight w:val="0"/>
              <w:marTop w:val="0"/>
              <w:marBottom w:val="0"/>
              <w:divBdr>
                <w:top w:val="none" w:sz="0" w:space="0" w:color="auto"/>
                <w:left w:val="none" w:sz="0" w:space="0" w:color="auto"/>
                <w:bottom w:val="none" w:sz="0" w:space="0" w:color="auto"/>
                <w:right w:val="none" w:sz="0" w:space="0" w:color="auto"/>
              </w:divBdr>
            </w:div>
            <w:div w:id="1082336106">
              <w:marLeft w:val="0"/>
              <w:marRight w:val="0"/>
              <w:marTop w:val="0"/>
              <w:marBottom w:val="0"/>
              <w:divBdr>
                <w:top w:val="none" w:sz="0" w:space="0" w:color="auto"/>
                <w:left w:val="none" w:sz="0" w:space="0" w:color="auto"/>
                <w:bottom w:val="none" w:sz="0" w:space="0" w:color="auto"/>
                <w:right w:val="none" w:sz="0" w:space="0" w:color="auto"/>
              </w:divBdr>
            </w:div>
            <w:div w:id="430127326">
              <w:marLeft w:val="0"/>
              <w:marRight w:val="0"/>
              <w:marTop w:val="0"/>
              <w:marBottom w:val="0"/>
              <w:divBdr>
                <w:top w:val="none" w:sz="0" w:space="0" w:color="auto"/>
                <w:left w:val="none" w:sz="0" w:space="0" w:color="auto"/>
                <w:bottom w:val="none" w:sz="0" w:space="0" w:color="auto"/>
                <w:right w:val="none" w:sz="0" w:space="0" w:color="auto"/>
              </w:divBdr>
            </w:div>
            <w:div w:id="1050768164">
              <w:marLeft w:val="0"/>
              <w:marRight w:val="0"/>
              <w:marTop w:val="0"/>
              <w:marBottom w:val="0"/>
              <w:divBdr>
                <w:top w:val="none" w:sz="0" w:space="0" w:color="auto"/>
                <w:left w:val="none" w:sz="0" w:space="0" w:color="auto"/>
                <w:bottom w:val="none" w:sz="0" w:space="0" w:color="auto"/>
                <w:right w:val="none" w:sz="0" w:space="0" w:color="auto"/>
              </w:divBdr>
            </w:div>
            <w:div w:id="1492939574">
              <w:marLeft w:val="0"/>
              <w:marRight w:val="0"/>
              <w:marTop w:val="0"/>
              <w:marBottom w:val="0"/>
              <w:divBdr>
                <w:top w:val="none" w:sz="0" w:space="0" w:color="auto"/>
                <w:left w:val="none" w:sz="0" w:space="0" w:color="auto"/>
                <w:bottom w:val="none" w:sz="0" w:space="0" w:color="auto"/>
                <w:right w:val="none" w:sz="0" w:space="0" w:color="auto"/>
              </w:divBdr>
            </w:div>
            <w:div w:id="248470644">
              <w:marLeft w:val="0"/>
              <w:marRight w:val="0"/>
              <w:marTop w:val="0"/>
              <w:marBottom w:val="0"/>
              <w:divBdr>
                <w:top w:val="none" w:sz="0" w:space="0" w:color="auto"/>
                <w:left w:val="none" w:sz="0" w:space="0" w:color="auto"/>
                <w:bottom w:val="none" w:sz="0" w:space="0" w:color="auto"/>
                <w:right w:val="none" w:sz="0" w:space="0" w:color="auto"/>
              </w:divBdr>
            </w:div>
            <w:div w:id="565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60174">
      <w:bodyDiv w:val="1"/>
      <w:marLeft w:val="0"/>
      <w:marRight w:val="0"/>
      <w:marTop w:val="0"/>
      <w:marBottom w:val="0"/>
      <w:divBdr>
        <w:top w:val="none" w:sz="0" w:space="0" w:color="auto"/>
        <w:left w:val="none" w:sz="0" w:space="0" w:color="auto"/>
        <w:bottom w:val="none" w:sz="0" w:space="0" w:color="auto"/>
        <w:right w:val="none" w:sz="0" w:space="0" w:color="auto"/>
      </w:divBdr>
    </w:div>
    <w:div w:id="336428353">
      <w:bodyDiv w:val="1"/>
      <w:marLeft w:val="0"/>
      <w:marRight w:val="0"/>
      <w:marTop w:val="0"/>
      <w:marBottom w:val="0"/>
      <w:divBdr>
        <w:top w:val="none" w:sz="0" w:space="0" w:color="auto"/>
        <w:left w:val="none" w:sz="0" w:space="0" w:color="auto"/>
        <w:bottom w:val="none" w:sz="0" w:space="0" w:color="auto"/>
        <w:right w:val="none" w:sz="0" w:space="0" w:color="auto"/>
      </w:divBdr>
      <w:divsChild>
        <w:div w:id="34745764">
          <w:marLeft w:val="0"/>
          <w:marRight w:val="0"/>
          <w:marTop w:val="0"/>
          <w:marBottom w:val="0"/>
          <w:divBdr>
            <w:top w:val="none" w:sz="0" w:space="0" w:color="auto"/>
            <w:left w:val="none" w:sz="0" w:space="0" w:color="auto"/>
            <w:bottom w:val="none" w:sz="0" w:space="0" w:color="auto"/>
            <w:right w:val="none" w:sz="0" w:space="0" w:color="auto"/>
          </w:divBdr>
          <w:divsChild>
            <w:div w:id="546913933">
              <w:marLeft w:val="0"/>
              <w:marRight w:val="0"/>
              <w:marTop w:val="0"/>
              <w:marBottom w:val="0"/>
              <w:divBdr>
                <w:top w:val="none" w:sz="0" w:space="0" w:color="auto"/>
                <w:left w:val="none" w:sz="0" w:space="0" w:color="auto"/>
                <w:bottom w:val="none" w:sz="0" w:space="0" w:color="auto"/>
                <w:right w:val="none" w:sz="0" w:space="0" w:color="auto"/>
              </w:divBdr>
            </w:div>
            <w:div w:id="1298338410">
              <w:marLeft w:val="0"/>
              <w:marRight w:val="0"/>
              <w:marTop w:val="0"/>
              <w:marBottom w:val="0"/>
              <w:divBdr>
                <w:top w:val="none" w:sz="0" w:space="0" w:color="auto"/>
                <w:left w:val="none" w:sz="0" w:space="0" w:color="auto"/>
                <w:bottom w:val="none" w:sz="0" w:space="0" w:color="auto"/>
                <w:right w:val="none" w:sz="0" w:space="0" w:color="auto"/>
              </w:divBdr>
            </w:div>
            <w:div w:id="1929076096">
              <w:marLeft w:val="0"/>
              <w:marRight w:val="0"/>
              <w:marTop w:val="0"/>
              <w:marBottom w:val="0"/>
              <w:divBdr>
                <w:top w:val="none" w:sz="0" w:space="0" w:color="auto"/>
                <w:left w:val="none" w:sz="0" w:space="0" w:color="auto"/>
                <w:bottom w:val="none" w:sz="0" w:space="0" w:color="auto"/>
                <w:right w:val="none" w:sz="0" w:space="0" w:color="auto"/>
              </w:divBdr>
            </w:div>
            <w:div w:id="545920655">
              <w:marLeft w:val="0"/>
              <w:marRight w:val="0"/>
              <w:marTop w:val="0"/>
              <w:marBottom w:val="0"/>
              <w:divBdr>
                <w:top w:val="none" w:sz="0" w:space="0" w:color="auto"/>
                <w:left w:val="none" w:sz="0" w:space="0" w:color="auto"/>
                <w:bottom w:val="none" w:sz="0" w:space="0" w:color="auto"/>
                <w:right w:val="none" w:sz="0" w:space="0" w:color="auto"/>
              </w:divBdr>
            </w:div>
            <w:div w:id="1802923660">
              <w:marLeft w:val="0"/>
              <w:marRight w:val="0"/>
              <w:marTop w:val="0"/>
              <w:marBottom w:val="0"/>
              <w:divBdr>
                <w:top w:val="none" w:sz="0" w:space="0" w:color="auto"/>
                <w:left w:val="none" w:sz="0" w:space="0" w:color="auto"/>
                <w:bottom w:val="none" w:sz="0" w:space="0" w:color="auto"/>
                <w:right w:val="none" w:sz="0" w:space="0" w:color="auto"/>
              </w:divBdr>
            </w:div>
            <w:div w:id="198011532">
              <w:marLeft w:val="0"/>
              <w:marRight w:val="0"/>
              <w:marTop w:val="0"/>
              <w:marBottom w:val="0"/>
              <w:divBdr>
                <w:top w:val="none" w:sz="0" w:space="0" w:color="auto"/>
                <w:left w:val="none" w:sz="0" w:space="0" w:color="auto"/>
                <w:bottom w:val="none" w:sz="0" w:space="0" w:color="auto"/>
                <w:right w:val="none" w:sz="0" w:space="0" w:color="auto"/>
              </w:divBdr>
            </w:div>
            <w:div w:id="3111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179">
      <w:bodyDiv w:val="1"/>
      <w:marLeft w:val="0"/>
      <w:marRight w:val="0"/>
      <w:marTop w:val="0"/>
      <w:marBottom w:val="0"/>
      <w:divBdr>
        <w:top w:val="none" w:sz="0" w:space="0" w:color="auto"/>
        <w:left w:val="none" w:sz="0" w:space="0" w:color="auto"/>
        <w:bottom w:val="none" w:sz="0" w:space="0" w:color="auto"/>
        <w:right w:val="none" w:sz="0" w:space="0" w:color="auto"/>
      </w:divBdr>
    </w:div>
    <w:div w:id="1370689719">
      <w:bodyDiv w:val="1"/>
      <w:marLeft w:val="0"/>
      <w:marRight w:val="0"/>
      <w:marTop w:val="0"/>
      <w:marBottom w:val="0"/>
      <w:divBdr>
        <w:top w:val="none" w:sz="0" w:space="0" w:color="auto"/>
        <w:left w:val="none" w:sz="0" w:space="0" w:color="auto"/>
        <w:bottom w:val="none" w:sz="0" w:space="0" w:color="auto"/>
        <w:right w:val="none" w:sz="0" w:space="0" w:color="auto"/>
      </w:divBdr>
      <w:divsChild>
        <w:div w:id="812219219">
          <w:marLeft w:val="0"/>
          <w:marRight w:val="0"/>
          <w:marTop w:val="0"/>
          <w:marBottom w:val="0"/>
          <w:divBdr>
            <w:top w:val="none" w:sz="0" w:space="0" w:color="auto"/>
            <w:left w:val="none" w:sz="0" w:space="0" w:color="auto"/>
            <w:bottom w:val="none" w:sz="0" w:space="0" w:color="auto"/>
            <w:right w:val="none" w:sz="0" w:space="0" w:color="auto"/>
          </w:divBdr>
          <w:divsChild>
            <w:div w:id="120852686">
              <w:marLeft w:val="0"/>
              <w:marRight w:val="0"/>
              <w:marTop w:val="0"/>
              <w:marBottom w:val="0"/>
              <w:divBdr>
                <w:top w:val="none" w:sz="0" w:space="0" w:color="auto"/>
                <w:left w:val="none" w:sz="0" w:space="0" w:color="auto"/>
                <w:bottom w:val="none" w:sz="0" w:space="0" w:color="auto"/>
                <w:right w:val="none" w:sz="0" w:space="0" w:color="auto"/>
              </w:divBdr>
            </w:div>
            <w:div w:id="961808801">
              <w:marLeft w:val="0"/>
              <w:marRight w:val="0"/>
              <w:marTop w:val="0"/>
              <w:marBottom w:val="0"/>
              <w:divBdr>
                <w:top w:val="none" w:sz="0" w:space="0" w:color="auto"/>
                <w:left w:val="none" w:sz="0" w:space="0" w:color="auto"/>
                <w:bottom w:val="none" w:sz="0" w:space="0" w:color="auto"/>
                <w:right w:val="none" w:sz="0" w:space="0" w:color="auto"/>
              </w:divBdr>
            </w:div>
            <w:div w:id="1934194191">
              <w:marLeft w:val="0"/>
              <w:marRight w:val="0"/>
              <w:marTop w:val="0"/>
              <w:marBottom w:val="0"/>
              <w:divBdr>
                <w:top w:val="none" w:sz="0" w:space="0" w:color="auto"/>
                <w:left w:val="none" w:sz="0" w:space="0" w:color="auto"/>
                <w:bottom w:val="none" w:sz="0" w:space="0" w:color="auto"/>
                <w:right w:val="none" w:sz="0" w:space="0" w:color="auto"/>
              </w:divBdr>
            </w:div>
            <w:div w:id="1072309898">
              <w:marLeft w:val="0"/>
              <w:marRight w:val="0"/>
              <w:marTop w:val="0"/>
              <w:marBottom w:val="0"/>
              <w:divBdr>
                <w:top w:val="none" w:sz="0" w:space="0" w:color="auto"/>
                <w:left w:val="none" w:sz="0" w:space="0" w:color="auto"/>
                <w:bottom w:val="none" w:sz="0" w:space="0" w:color="auto"/>
                <w:right w:val="none" w:sz="0" w:space="0" w:color="auto"/>
              </w:divBdr>
            </w:div>
            <w:div w:id="464660494">
              <w:marLeft w:val="0"/>
              <w:marRight w:val="0"/>
              <w:marTop w:val="0"/>
              <w:marBottom w:val="0"/>
              <w:divBdr>
                <w:top w:val="none" w:sz="0" w:space="0" w:color="auto"/>
                <w:left w:val="none" w:sz="0" w:space="0" w:color="auto"/>
                <w:bottom w:val="none" w:sz="0" w:space="0" w:color="auto"/>
                <w:right w:val="none" w:sz="0" w:space="0" w:color="auto"/>
              </w:divBdr>
            </w:div>
            <w:div w:id="9658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15</cp:revision>
  <cp:lastPrinted>2018-10-31T20:48:00Z</cp:lastPrinted>
  <dcterms:created xsi:type="dcterms:W3CDTF">2018-10-31T20:48:00Z</dcterms:created>
  <dcterms:modified xsi:type="dcterms:W3CDTF">2019-06-10T15:53:00Z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id="90rVXv1g"/&gt;&lt;style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