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F97A" w14:textId="57C9C37B" w:rsidR="00027246" w:rsidRDefault="00E914A5" w:rsidP="00132295">
      <w:pPr>
        <w:pStyle w:val="Heading1"/>
        <w:spacing w:line="240" w:lineRule="auto"/>
      </w:pPr>
      <w:bookmarkStart w:id="0" w:name="_GoBack"/>
      <w:bookmarkEnd w:id="0"/>
      <w:r>
        <w:t xml:space="preserve">Professional-Patient Relationships </w:t>
      </w:r>
    </w:p>
    <w:p w14:paraId="394ADB64" w14:textId="49C17CA2" w:rsidR="00E73C8E" w:rsidRDefault="00132295" w:rsidP="00132295">
      <w:pPr>
        <w:spacing w:line="240" w:lineRule="auto"/>
      </w:pPr>
      <w:r>
        <w:rPr>
          <w:b/>
        </w:rPr>
        <w:t xml:space="preserve">Learning Outcomes. </w:t>
      </w:r>
      <w:r w:rsidR="00E21BFC">
        <w:t xml:space="preserve">We have now finished discussing all </w:t>
      </w:r>
      <w:r w:rsidR="00C50F3B">
        <w:t>four</w:t>
      </w:r>
      <w:r w:rsidR="00E21BFC">
        <w:t xml:space="preserve"> principles of the common morality: autonomy, nonmaleficence, benevolence, and justice. We’ll now take a more detailed question at how these principles </w:t>
      </w:r>
      <w:r w:rsidR="00E73C8E">
        <w:t>can help us answer more specific questions:</w:t>
      </w:r>
    </w:p>
    <w:p w14:paraId="3A20F417" w14:textId="0F54B7FA" w:rsidR="00E73C8E" w:rsidRDefault="00E21BFC" w:rsidP="00132295">
      <w:pPr>
        <w:pStyle w:val="ListParagraph"/>
        <w:numPr>
          <w:ilvl w:val="0"/>
          <w:numId w:val="6"/>
        </w:numPr>
        <w:spacing w:line="240" w:lineRule="auto"/>
      </w:pPr>
      <w:r>
        <w:t>What are the moral obligations of medical</w:t>
      </w:r>
      <w:r w:rsidR="00132295">
        <w:t xml:space="preserve"> and research staff</w:t>
      </w:r>
      <w:r>
        <w:t xml:space="preserve"> toward their patients</w:t>
      </w:r>
      <w:r w:rsidR="00132295">
        <w:t>, especially as these relate to issues such as truth-telling and respecting confidentiality</w:t>
      </w:r>
      <w:r>
        <w:t xml:space="preserve">? </w:t>
      </w:r>
    </w:p>
    <w:p w14:paraId="5CCD5C8B" w14:textId="38E9006D" w:rsidR="00E73C8E" w:rsidRDefault="00E21BFC" w:rsidP="00132295">
      <w:pPr>
        <w:pStyle w:val="ListParagraph"/>
        <w:numPr>
          <w:ilvl w:val="0"/>
          <w:numId w:val="6"/>
        </w:numPr>
        <w:spacing w:line="240" w:lineRule="auto"/>
      </w:pPr>
      <w:r>
        <w:t xml:space="preserve">How do they balance these obligations against </w:t>
      </w:r>
      <w:r w:rsidRPr="00E73C8E">
        <w:rPr>
          <w:i/>
        </w:rPr>
        <w:t xml:space="preserve">other </w:t>
      </w:r>
      <w:r>
        <w:t xml:space="preserve">moral obligations (toward their coworkers, families, insurance companies, or society in general)? </w:t>
      </w:r>
      <w:r w:rsidR="00132295">
        <w:t>How do we identify potential conflicts of interest?</w:t>
      </w:r>
    </w:p>
    <w:p w14:paraId="1811F97B" w14:textId="3401BC26" w:rsidR="00E914A5" w:rsidRPr="00FD4B5E" w:rsidRDefault="00E73C8E" w:rsidP="00132295">
      <w:pPr>
        <w:spacing w:line="240" w:lineRule="auto"/>
      </w:pPr>
      <w:r w:rsidRPr="00FD4B5E">
        <w:t>We’ll consider these question</w:t>
      </w:r>
      <w:r w:rsidR="008E48C6">
        <w:t>s</w:t>
      </w:r>
      <w:r w:rsidRPr="00FD4B5E">
        <w:t xml:space="preserve"> </w:t>
      </w:r>
      <w:r w:rsidR="00E21BFC" w:rsidRPr="00FD4B5E">
        <w:t xml:space="preserve">both in the context of providing medical care (when the goal is “to help the patient get better”) and </w:t>
      </w:r>
      <w:r w:rsidRPr="00FD4B5E">
        <w:t xml:space="preserve">biological or medical </w:t>
      </w:r>
      <w:r w:rsidR="00E21BFC" w:rsidRPr="00FD4B5E">
        <w:t>research (when the goal is to “learn something to help future patients.”).</w:t>
      </w:r>
    </w:p>
    <w:p w14:paraId="1811F97C" w14:textId="77BE0B97" w:rsidR="003E799C" w:rsidRDefault="003E799C" w:rsidP="00132295">
      <w:pPr>
        <w:pStyle w:val="Heading2"/>
        <w:spacing w:line="240" w:lineRule="auto"/>
      </w:pPr>
      <w:r>
        <w:t xml:space="preserve">Should We Always Tell the (Whole) Truth? </w:t>
      </w:r>
    </w:p>
    <w:p w14:paraId="1811F97D" w14:textId="1E3CA02A" w:rsidR="003E799C" w:rsidRDefault="003E799C" w:rsidP="00132295">
      <w:pPr>
        <w:spacing w:line="240" w:lineRule="auto"/>
      </w:pPr>
      <w:r>
        <w:t xml:space="preserve">In health care, </w:t>
      </w:r>
      <w:r>
        <w:rPr>
          <w:b/>
        </w:rPr>
        <w:t xml:space="preserve">veracity </w:t>
      </w:r>
      <w:r>
        <w:t>refers to “accurate, timely, objective, and comprehensive transmission of information, as well as to the way the professional fosters the patient’s or subject’s understanding.”</w:t>
      </w:r>
      <w:r w:rsidR="00F87319">
        <w:t xml:space="preserve"> The obligation of veracity is entailed by three more general obligations: (1) to show respect for patients, (2) to keep promises and contracts, and (3) to cultivate and maintain relationships between patients and caregivers. Of course, the obligation of veracity is not </w:t>
      </w:r>
      <w:r w:rsidR="00F87319">
        <w:rPr>
          <w:i/>
        </w:rPr>
        <w:t xml:space="preserve">absolute, </w:t>
      </w:r>
      <w:r w:rsidR="00F87319">
        <w:t>and there are several problem cases worth considering</w:t>
      </w:r>
      <w:r w:rsidR="00132295">
        <w:rPr>
          <w:rStyle w:val="FootnoteReference"/>
        </w:rPr>
        <w:footnoteReference w:id="1"/>
      </w:r>
      <w:r w:rsidR="00F87319">
        <w:t>:</w:t>
      </w:r>
    </w:p>
    <w:p w14:paraId="1D9B97AD" w14:textId="77777777" w:rsidR="00F60E21" w:rsidRDefault="00F87319" w:rsidP="00132295">
      <w:pPr>
        <w:pStyle w:val="ListParagraph"/>
        <w:numPr>
          <w:ilvl w:val="0"/>
          <w:numId w:val="9"/>
        </w:numPr>
        <w:spacing w:line="240" w:lineRule="auto"/>
      </w:pPr>
      <w:r w:rsidRPr="00F60E21">
        <w:t>While</w:t>
      </w:r>
      <w:r>
        <w:t xml:space="preserve"> it is almost always wrong to </w:t>
      </w:r>
      <w:r w:rsidRPr="00F60E21">
        <w:rPr>
          <w:i/>
        </w:rPr>
        <w:t xml:space="preserve">lie, </w:t>
      </w:r>
      <w:r>
        <w:t xml:space="preserve">it may (sometimes) be OK to intentionally </w:t>
      </w:r>
      <w:r w:rsidRPr="00F60E21">
        <w:rPr>
          <w:i/>
        </w:rPr>
        <w:t xml:space="preserve">deceive </w:t>
      </w:r>
      <w:r>
        <w:t xml:space="preserve">patients by the </w:t>
      </w:r>
      <w:r w:rsidRPr="00F60E21">
        <w:rPr>
          <w:b/>
        </w:rPr>
        <w:t xml:space="preserve">nondisclosure </w:t>
      </w:r>
      <w:r>
        <w:t xml:space="preserve">or </w:t>
      </w:r>
      <w:proofErr w:type="spellStart"/>
      <w:r w:rsidRPr="00F60E21">
        <w:rPr>
          <w:b/>
        </w:rPr>
        <w:t>underdisclosure</w:t>
      </w:r>
      <w:proofErr w:type="spellEnd"/>
      <w:r w:rsidRPr="00F60E21">
        <w:rPr>
          <w:b/>
        </w:rPr>
        <w:t xml:space="preserve"> </w:t>
      </w:r>
      <w:r>
        <w:t>of information.</w:t>
      </w:r>
      <w:r w:rsidR="00570CF1">
        <w:t xml:space="preserve"> However, one needs to be very careful about doing this. For example, it *might* be OK to withhold a terminal diagnosis from a patient </w:t>
      </w:r>
      <w:r w:rsidR="00570CF1" w:rsidRPr="00F60E21">
        <w:rPr>
          <w:i/>
        </w:rPr>
        <w:t xml:space="preserve">if </w:t>
      </w:r>
      <w:r w:rsidR="00570CF1">
        <w:t>she had previously told you that she did not want to be told this sort of information. However, it would be wrong to withhold the information merely because family members/medical staff thought it would make her “happier” not to know.</w:t>
      </w:r>
      <w:r w:rsidR="00412D70">
        <w:t xml:space="preserve"> Deception can easily undermine trust in the medical system, with bad consequences.</w:t>
      </w:r>
      <w:r w:rsidR="00F60E21">
        <w:t xml:space="preserve"> </w:t>
      </w:r>
    </w:p>
    <w:p w14:paraId="1811F97F" w14:textId="69347C90" w:rsidR="001C5E98" w:rsidRDefault="001C5E98" w:rsidP="00132295">
      <w:pPr>
        <w:pStyle w:val="ListParagraph"/>
        <w:numPr>
          <w:ilvl w:val="0"/>
          <w:numId w:val="9"/>
        </w:numPr>
        <w:spacing w:line="240" w:lineRule="auto"/>
      </w:pPr>
      <w:r>
        <w:t xml:space="preserve">For similar reasons, it is generally wrong to deceive </w:t>
      </w:r>
      <w:r w:rsidRPr="00F60E21">
        <w:rPr>
          <w:b/>
        </w:rPr>
        <w:t xml:space="preserve">third-party payers </w:t>
      </w:r>
      <w:r>
        <w:t>such as insurance companies or Medicare.</w:t>
      </w:r>
      <w:r w:rsidR="00E73C8E">
        <w:t xml:space="preserve"> If medical staff make a practice of doing this, the relationship between payers and providers will break down, which could have *very bad consequences* for patients.</w:t>
      </w:r>
    </w:p>
    <w:p w14:paraId="1811F980" w14:textId="4A88A542" w:rsidR="001934A3" w:rsidRDefault="001934A3" w:rsidP="00132295">
      <w:pPr>
        <w:pStyle w:val="ListParagraph"/>
        <w:numPr>
          <w:ilvl w:val="0"/>
          <w:numId w:val="9"/>
        </w:numPr>
        <w:spacing w:line="240" w:lineRule="auto"/>
      </w:pPr>
      <w:r>
        <w:t xml:space="preserve">It is easier to justify </w:t>
      </w:r>
      <w:r w:rsidRPr="00F60E21">
        <w:rPr>
          <w:b/>
        </w:rPr>
        <w:t xml:space="preserve">staged disclosure </w:t>
      </w:r>
      <w:r>
        <w:t xml:space="preserve">(telling patients the information over time, rather than all at once) and the use of </w:t>
      </w:r>
      <w:r w:rsidRPr="00F60E21">
        <w:rPr>
          <w:b/>
        </w:rPr>
        <w:t xml:space="preserve">cautious language </w:t>
      </w:r>
      <w:r>
        <w:t>(leaving room for patient “interpretation” instead of straightforwardly delivering bad news) than other types of deception</w:t>
      </w:r>
      <w:r w:rsidR="00E73C8E">
        <w:t xml:space="preserve"> (such outright laying)</w:t>
      </w:r>
      <w:r>
        <w:t>.  On</w:t>
      </w:r>
      <w:r w:rsidR="00E73C8E">
        <w:t>e reason for using staged disclosure or cautious language is to</w:t>
      </w:r>
      <w:r>
        <w:t xml:space="preserve"> make sure that the patient is able to understand the importance of the information that the professional is trying to communicate, and is able to make coherent, reasonable decisions based on this information. </w:t>
      </w:r>
      <w:r w:rsidR="00F60E21">
        <w:t xml:space="preserve"> </w:t>
      </w:r>
      <w:r w:rsidR="001F0603">
        <w:t xml:space="preserve">B-C offer the example </w:t>
      </w:r>
      <w:r w:rsidR="00E73C8E">
        <w:t>of</w:t>
      </w:r>
      <w:r w:rsidR="001F0603">
        <w:t xml:space="preserve"> a patient who steadfastly believes that </w:t>
      </w:r>
      <w:r w:rsidR="001F0603" w:rsidRPr="00F60E21">
        <w:rPr>
          <w:i/>
        </w:rPr>
        <w:t xml:space="preserve">all </w:t>
      </w:r>
      <w:r w:rsidR="001F0603">
        <w:t xml:space="preserve">cancer is deadly that “he does not have cancer” even though he in fact has a treatable variety of cancer. </w:t>
      </w:r>
      <w:r w:rsidR="00E73C8E">
        <w:t>In such a case, a physician might say “you have a treatable disease, called [something really long and complex]” and NOT tell the patient that he has cancer (at least initially). In the long run, of course, the goal would be to help the patient understand the nature of his condition (and of the sort of treatment that is being used).</w:t>
      </w:r>
    </w:p>
    <w:p w14:paraId="1811F981" w14:textId="77777777" w:rsidR="001C5E98" w:rsidRDefault="005F318E" w:rsidP="00132295">
      <w:pPr>
        <w:pStyle w:val="ListParagraph"/>
        <w:numPr>
          <w:ilvl w:val="0"/>
          <w:numId w:val="9"/>
        </w:numPr>
        <w:spacing w:line="240" w:lineRule="auto"/>
      </w:pPr>
      <w:r>
        <w:t xml:space="preserve">One </w:t>
      </w:r>
      <w:r w:rsidR="00575E43">
        <w:t>e</w:t>
      </w:r>
      <w:r>
        <w:t>special</w:t>
      </w:r>
      <w:r w:rsidR="00575E43">
        <w:t>ly</w:t>
      </w:r>
      <w:r>
        <w:t xml:space="preserve"> </w:t>
      </w:r>
      <w:r w:rsidR="00575E43">
        <w:t xml:space="preserve">challenging </w:t>
      </w:r>
      <w:r>
        <w:t xml:space="preserve">case involves the disclosure of </w:t>
      </w:r>
      <w:r w:rsidRPr="00F60E21">
        <w:rPr>
          <w:b/>
        </w:rPr>
        <w:t xml:space="preserve">medical errors. </w:t>
      </w:r>
      <w:r w:rsidR="001C5E98">
        <w:t xml:space="preserve">In these cases, a professional must balance the patient’s needs for transparency, respect, accountability, continuity, and kindness. One should </w:t>
      </w:r>
      <w:r w:rsidR="001C5E98" w:rsidRPr="00F60E21">
        <w:rPr>
          <w:i/>
        </w:rPr>
        <w:t xml:space="preserve">not </w:t>
      </w:r>
      <w:r w:rsidR="001C5E98">
        <w:t>consider these sorts of disclosures a “betrayal of one’s colleagues.”</w:t>
      </w:r>
      <w:r w:rsidR="00575E43">
        <w:t xml:space="preserve"> </w:t>
      </w:r>
    </w:p>
    <w:p w14:paraId="1811F982" w14:textId="77777777" w:rsidR="005E3DBD" w:rsidRDefault="005E3DBD" w:rsidP="00132295">
      <w:pPr>
        <w:pStyle w:val="Heading2"/>
        <w:spacing w:line="240" w:lineRule="auto"/>
      </w:pPr>
      <w:r>
        <w:t>How Far Does the Right to Privacy Extend?</w:t>
      </w:r>
    </w:p>
    <w:p w14:paraId="7AEE78E2" w14:textId="4022B0DF" w:rsidR="008158C6" w:rsidRDefault="00AC3D1B" w:rsidP="00132295">
      <w:pPr>
        <w:spacing w:line="240" w:lineRule="auto"/>
      </w:pPr>
      <w:r>
        <w:t xml:space="preserve">In a general sense, the </w:t>
      </w:r>
      <w:r>
        <w:rPr>
          <w:b/>
        </w:rPr>
        <w:t xml:space="preserve">right to privacy </w:t>
      </w:r>
      <w:r>
        <w:t xml:space="preserve">consists of “right” to </w:t>
      </w:r>
      <w:r w:rsidR="00561B31">
        <w:t xml:space="preserve">control outside access (from the government, </w:t>
      </w:r>
      <w:r w:rsidR="00422B28">
        <w:t>private institutions</w:t>
      </w:r>
      <w:r w:rsidR="00561B31">
        <w:t xml:space="preserve">, or other individuals) to certain areas of one’s private life </w:t>
      </w:r>
      <w:r>
        <w:t xml:space="preserve">(in the U.S., the courts have held that this right </w:t>
      </w:r>
      <w:r w:rsidR="00561B31">
        <w:t>means that laws outlawing contraception are unconstitutional</w:t>
      </w:r>
      <w:r w:rsidR="0042553A">
        <w:t>, as are certain laws restricting abortion</w:t>
      </w:r>
      <w:r>
        <w:t>)</w:t>
      </w:r>
      <w:r w:rsidR="00561B31">
        <w:t>. Some particular instances of this general right include</w:t>
      </w:r>
      <w:r w:rsidR="00132295">
        <w:rPr>
          <w:rStyle w:val="FootnoteReference"/>
        </w:rPr>
        <w:footnoteReference w:id="2"/>
      </w:r>
      <w:r w:rsidR="00132295">
        <w:t>:</w:t>
      </w:r>
    </w:p>
    <w:p w14:paraId="6A283FAA" w14:textId="3EA4B86F" w:rsidR="000822E9" w:rsidRDefault="008158C6" w:rsidP="00132295">
      <w:pPr>
        <w:pStyle w:val="ListParagraph"/>
        <w:numPr>
          <w:ilvl w:val="0"/>
          <w:numId w:val="7"/>
        </w:numPr>
        <w:spacing w:line="240" w:lineRule="auto"/>
      </w:pPr>
      <w:r>
        <w:t xml:space="preserve">The right to </w:t>
      </w:r>
      <w:r w:rsidR="00561B31" w:rsidRPr="008158C6">
        <w:rPr>
          <w:b/>
        </w:rPr>
        <w:t>informational privacy</w:t>
      </w:r>
      <w:r>
        <w:rPr>
          <w:b/>
        </w:rPr>
        <w:t xml:space="preserve"> </w:t>
      </w:r>
      <w:r>
        <w:t xml:space="preserve">means that </w:t>
      </w:r>
      <w:r w:rsidR="0042553A">
        <w:t>certain information should n</w:t>
      </w:r>
      <w:r>
        <w:t>ot be shared without permission</w:t>
      </w:r>
      <w:r w:rsidR="002054ED">
        <w:t>. For example, patients’ information should be shared only (as needed) with members of the treatment team, and not with medical staff in general (as sometimes happens).</w:t>
      </w:r>
      <w:r w:rsidR="00F60E21">
        <w:t xml:space="preserve"> </w:t>
      </w:r>
      <w:r w:rsidR="000822E9" w:rsidRPr="00F60E21">
        <w:rPr>
          <w:b/>
        </w:rPr>
        <w:t>Exceptions?</w:t>
      </w:r>
      <w:r w:rsidR="000822E9">
        <w:t xml:space="preserve"> People infected with conditions such as HIV can benefit greatly from timely, correct treatment; this treatment will also lower their chance of infecting others. Given this fact, is it OK for hospitals to release the names of these patients to public health officials (who could contact the individuals to encourage them to seek proper treatment)? </w:t>
      </w:r>
    </w:p>
    <w:p w14:paraId="760C340B" w14:textId="7AA41D45" w:rsidR="000822E9" w:rsidRPr="008158C6" w:rsidRDefault="008158C6" w:rsidP="00132295">
      <w:pPr>
        <w:pStyle w:val="ListParagraph"/>
        <w:numPr>
          <w:ilvl w:val="0"/>
          <w:numId w:val="7"/>
        </w:numPr>
        <w:spacing w:line="240" w:lineRule="auto"/>
      </w:pPr>
      <w:r>
        <w:t>The right to</w:t>
      </w:r>
      <w:r w:rsidR="00561B31" w:rsidRPr="00F60E21">
        <w:rPr>
          <w:b/>
        </w:rPr>
        <w:t xml:space="preserve"> physical privacy</w:t>
      </w:r>
      <w:r w:rsidR="0042553A" w:rsidRPr="00F60E21">
        <w:rPr>
          <w:b/>
        </w:rPr>
        <w:t xml:space="preserve"> </w:t>
      </w:r>
      <w:r>
        <w:t xml:space="preserve">entails that </w:t>
      </w:r>
      <w:r w:rsidR="0042553A">
        <w:t>the body and the sp</w:t>
      </w:r>
      <w:r w:rsidR="002054ED">
        <w:t xml:space="preserve">ace around it </w:t>
      </w:r>
      <w:r w:rsidR="000822E9">
        <w:t xml:space="preserve">should not be </w:t>
      </w:r>
      <w:r w:rsidR="00DA2CB7">
        <w:t>interfered with unless there is express consent</w:t>
      </w:r>
      <w:r w:rsidR="002054ED">
        <w:t xml:space="preserve">. For example, the (fairly common) practice of allowing medical students to give pelvic exams to patients under general </w:t>
      </w:r>
      <w:r w:rsidR="002054ED">
        <w:lastRenderedPageBreak/>
        <w:t>anesthesia seems like it might be a violation of physical privacy.</w:t>
      </w:r>
      <w:r w:rsidR="00F60E21">
        <w:t xml:space="preserve"> </w:t>
      </w:r>
      <w:r w:rsidR="000822E9" w:rsidRPr="00F60E21">
        <w:rPr>
          <w:b/>
        </w:rPr>
        <w:t xml:space="preserve">Exceptions? </w:t>
      </w:r>
      <w:r w:rsidR="00DA2CB7">
        <w:t>People who are unconscious and/or incompetent (on drugs or alcohol) are often given surgeries without consent.</w:t>
      </w:r>
    </w:p>
    <w:p w14:paraId="1999A596" w14:textId="0E6EE346" w:rsidR="00DA2CB7" w:rsidRDefault="008158C6" w:rsidP="00132295">
      <w:pPr>
        <w:pStyle w:val="ListParagraph"/>
        <w:numPr>
          <w:ilvl w:val="0"/>
          <w:numId w:val="7"/>
        </w:numPr>
        <w:spacing w:line="240" w:lineRule="auto"/>
      </w:pPr>
      <w:r>
        <w:t xml:space="preserve">The right to </w:t>
      </w:r>
      <w:r w:rsidR="00561B31" w:rsidRPr="00F60E21">
        <w:rPr>
          <w:b/>
        </w:rPr>
        <w:t>decisional privacy</w:t>
      </w:r>
      <w:r w:rsidR="0042553A" w:rsidRPr="00F60E21">
        <w:rPr>
          <w:b/>
        </w:rPr>
        <w:t xml:space="preserve"> </w:t>
      </w:r>
      <w:r>
        <w:t>concerns a</w:t>
      </w:r>
      <w:r w:rsidR="0042553A">
        <w:t xml:space="preserve"> person’s ability to choose </w:t>
      </w:r>
      <w:r>
        <w:t xml:space="preserve">a course of treatment or action without being </w:t>
      </w:r>
      <w:r w:rsidR="002054ED">
        <w:t xml:space="preserve">rushed, </w:t>
      </w:r>
      <w:r>
        <w:t>coerced</w:t>
      </w:r>
      <w:r w:rsidR="002054ED">
        <w:t>,</w:t>
      </w:r>
      <w:r w:rsidR="002009CB">
        <w:t xml:space="preserve"> or manipulated. A patient should be given time, information, and emotional support to make a decision that reflects his or her own interests.</w:t>
      </w:r>
      <w:r w:rsidR="00F60E21">
        <w:t xml:space="preserve"> </w:t>
      </w:r>
      <w:r w:rsidR="00DA2CB7" w:rsidRPr="00F60E21">
        <w:rPr>
          <w:b/>
        </w:rPr>
        <w:t>Exceptions?</w:t>
      </w:r>
      <w:r w:rsidR="00DA2CB7">
        <w:t xml:space="preserve"> In cases where the person’s competence is at issue, intervention may be desirable (for example, by making a patient talk with a counselor, or trying to get the family more involved).</w:t>
      </w:r>
    </w:p>
    <w:p w14:paraId="18DC595E" w14:textId="043D9672" w:rsidR="00DA2CB7" w:rsidRDefault="008158C6" w:rsidP="00132295">
      <w:pPr>
        <w:pStyle w:val="ListParagraph"/>
        <w:numPr>
          <w:ilvl w:val="0"/>
          <w:numId w:val="7"/>
        </w:numPr>
        <w:spacing w:line="240" w:lineRule="auto"/>
      </w:pPr>
      <w:r>
        <w:t xml:space="preserve">The right to </w:t>
      </w:r>
      <w:r w:rsidR="00561B31" w:rsidRPr="008158C6">
        <w:rPr>
          <w:b/>
        </w:rPr>
        <w:t>proprietary privacy</w:t>
      </w:r>
      <w:r w:rsidR="0042553A" w:rsidRPr="008158C6">
        <w:rPr>
          <w:b/>
        </w:rPr>
        <w:t xml:space="preserve"> </w:t>
      </w:r>
      <w:r>
        <w:t xml:space="preserve">holds that </w:t>
      </w:r>
      <w:r w:rsidR="0042553A">
        <w:t>people’s</w:t>
      </w:r>
      <w:r w:rsidR="0042553A" w:rsidRPr="008158C6">
        <w:rPr>
          <w:b/>
        </w:rPr>
        <w:t xml:space="preserve"> </w:t>
      </w:r>
      <w:r w:rsidR="0042553A">
        <w:t>bodies are their own property</w:t>
      </w:r>
      <w:r>
        <w:t xml:space="preserve">, and that others (such as medical researchers) cannot use their body parts without consent. </w:t>
      </w:r>
      <w:r w:rsidR="00BB127A">
        <w:t>The treatment of Henrietta Lacks’ cells violated this right.</w:t>
      </w:r>
      <w:r w:rsidR="00F60E21">
        <w:t xml:space="preserve"> </w:t>
      </w:r>
      <w:r w:rsidR="004C4393" w:rsidRPr="00F60E21">
        <w:rPr>
          <w:b/>
        </w:rPr>
        <w:t>Exceptions?</w:t>
      </w:r>
      <w:r w:rsidR="004C4393">
        <w:t xml:space="preserve"> </w:t>
      </w:r>
      <w:r w:rsidR="002F6365">
        <w:t>In most developed nations, there have been arguments over whether organ donation should be “opt in” (so, your organs won’t be used unless you have signed a form saying it is OK) or “opt out” (your organs can be used unless you have signed a form stating that is NOT OK.)</w:t>
      </w:r>
    </w:p>
    <w:p w14:paraId="1811F983" w14:textId="727F618B" w:rsidR="00AC3D1B" w:rsidRPr="008158C6" w:rsidRDefault="008158C6" w:rsidP="00132295">
      <w:pPr>
        <w:pStyle w:val="ListParagraph"/>
        <w:numPr>
          <w:ilvl w:val="0"/>
          <w:numId w:val="7"/>
        </w:numPr>
        <w:spacing w:line="240" w:lineRule="auto"/>
      </w:pPr>
      <w:r>
        <w:t>The right to r</w:t>
      </w:r>
      <w:r w:rsidR="00561B31" w:rsidRPr="008158C6">
        <w:rPr>
          <w:b/>
        </w:rPr>
        <w:t>elational/associational privacy</w:t>
      </w:r>
      <w:r w:rsidR="0042553A" w:rsidRPr="008158C6">
        <w:rPr>
          <w:b/>
        </w:rPr>
        <w:t xml:space="preserve"> </w:t>
      </w:r>
      <w:r>
        <w:t xml:space="preserve">means that </w:t>
      </w:r>
      <w:r w:rsidR="0042553A">
        <w:t xml:space="preserve">people are free to enter into </w:t>
      </w:r>
      <w:r w:rsidR="002054ED">
        <w:t>(or get out of) relationships with other people (among other things, this means some control over which medical professionals they see).</w:t>
      </w:r>
      <w:r w:rsidR="00BB127A">
        <w:t xml:space="preserve"> Medical professionals should not try and impede patients from having relationships (either with visiting family members or other medical professionals), </w:t>
      </w:r>
      <w:r w:rsidR="00BB127A">
        <w:rPr>
          <w:i/>
        </w:rPr>
        <w:t>even if they don’t</w:t>
      </w:r>
      <w:r w:rsidR="00D007A2">
        <w:rPr>
          <w:i/>
        </w:rPr>
        <w:t xml:space="preserve"> think</w:t>
      </w:r>
      <w:r w:rsidR="00BB127A">
        <w:rPr>
          <w:i/>
        </w:rPr>
        <w:t xml:space="preserve"> these relationships are the best ones to have.</w:t>
      </w:r>
    </w:p>
    <w:p w14:paraId="1811F984" w14:textId="3E2A6390" w:rsidR="00A643A7" w:rsidRDefault="00B47FA1" w:rsidP="00132295">
      <w:pPr>
        <w:spacing w:line="240" w:lineRule="auto"/>
      </w:pPr>
      <w:r>
        <w:t>The right to privacy is closely linked to many important legal and moral rights (to free speech, property, etc.), and is closely associated with the principle of autonomy, which holds that we ought to respect and promote competent people’s abilities to make their own choices what the “good” things in life are, and how they ought to pursue these things.</w:t>
      </w:r>
      <w:r w:rsidR="00B23F8E">
        <w:t xml:space="preserve"> If people were not confident in their right to </w:t>
      </w:r>
      <w:r w:rsidR="00B23F8E">
        <w:rPr>
          <w:i/>
        </w:rPr>
        <w:t xml:space="preserve">some </w:t>
      </w:r>
      <w:r w:rsidR="00B23F8E">
        <w:t xml:space="preserve">sorts of privacy, </w:t>
      </w:r>
      <w:r w:rsidR="00A643A7">
        <w:t xml:space="preserve">it is difficult to see how relationships like friendship or love could even exist (since these relationships require that we be able to </w:t>
      </w:r>
      <w:r w:rsidR="00A643A7">
        <w:rPr>
          <w:i/>
        </w:rPr>
        <w:t xml:space="preserve">choose </w:t>
      </w:r>
      <w:r w:rsidR="00A643A7">
        <w:t>who has access to certain parts of our lives).</w:t>
      </w:r>
      <w:r w:rsidR="000301B7">
        <w:t xml:space="preserve"> </w:t>
      </w:r>
      <w:r w:rsidR="00132295">
        <w:t xml:space="preserve">  </w:t>
      </w:r>
      <w:r w:rsidR="000301B7">
        <w:t>However, there are limitations to privacy rights. For example, public health officials regularly gather data (from clinics and hospitals) about the frequency of various diseases and conditions among various groups (by age, race, gender, etc.). While these data are often “anonymized” (so the patient’s names are replaced by ID numbers), this is not always the case (e.g.., if a person checks into an ER with a contagious disease such as antibiotic-resistant TB, the hospital will inform public health officials of the patient’s name). The question, as always, is one of balance.</w:t>
      </w:r>
    </w:p>
    <w:p w14:paraId="19786B98" w14:textId="21C0FEA3" w:rsidR="00F60E21" w:rsidRDefault="00F60E21" w:rsidP="00132295">
      <w:pPr>
        <w:pStyle w:val="Heading2"/>
        <w:spacing w:line="240" w:lineRule="auto"/>
      </w:pPr>
      <w:r>
        <w:t>Review Questions</w:t>
      </w:r>
    </w:p>
    <w:p w14:paraId="28F0740A" w14:textId="0614AAB1" w:rsidR="004D672F" w:rsidRDefault="002767FE" w:rsidP="00132295">
      <w:pPr>
        <w:pStyle w:val="ListParagraph"/>
        <w:numPr>
          <w:ilvl w:val="0"/>
          <w:numId w:val="10"/>
        </w:numPr>
        <w:spacing w:line="240" w:lineRule="auto"/>
      </w:pPr>
      <w:r>
        <w:t>When, if ever, i</w:t>
      </w:r>
      <w:r w:rsidRPr="002767FE">
        <w:t xml:space="preserve">s it ever justifiable for </w:t>
      </w:r>
      <w:r>
        <w:t>medical staff</w:t>
      </w:r>
      <w:r w:rsidRPr="002767FE">
        <w:t xml:space="preserve"> to deceive </w:t>
      </w:r>
      <w:r>
        <w:t xml:space="preserve">patients about their </w:t>
      </w:r>
      <w:r w:rsidRPr="002767FE">
        <w:t xml:space="preserve">diagnosis, treatment, or prognosis? If so, when? Be sure to refer to </w:t>
      </w:r>
      <w:r>
        <w:t>B-C’s</w:t>
      </w:r>
      <w:r w:rsidRPr="002767FE">
        <w:t xml:space="preserve"> </w:t>
      </w:r>
      <w:r>
        <w:t>ideas about</w:t>
      </w:r>
      <w:r w:rsidRPr="002767FE">
        <w:t xml:space="preserve"> veracity as well as of the four basic moral principles</w:t>
      </w:r>
      <w:r>
        <w:t>.</w:t>
      </w:r>
    </w:p>
    <w:p w14:paraId="61E4ED9D" w14:textId="34B9B5B8" w:rsidR="00E12C08" w:rsidRDefault="00E12C08" w:rsidP="00132295">
      <w:pPr>
        <w:pStyle w:val="ListParagraph"/>
        <w:numPr>
          <w:ilvl w:val="0"/>
          <w:numId w:val="10"/>
        </w:numPr>
        <w:spacing w:line="240" w:lineRule="auto"/>
      </w:pPr>
      <w:r>
        <w:t>Do you agree or disagree with B-C’s claim that “</w:t>
      </w:r>
      <w:r w:rsidRPr="00E12C08">
        <w:t>deception that does not involve lying is usually less difficult to justify than lying, in part because in many contexts in health care it does not threaten as deeply the relationship of trust</w:t>
      </w:r>
      <w:r>
        <w:t>”? Why or why not?</w:t>
      </w:r>
    </w:p>
    <w:p w14:paraId="03F56F16" w14:textId="03E0A96F" w:rsidR="00F60E21" w:rsidRPr="00FD4B5E" w:rsidRDefault="00FD4B5E" w:rsidP="00132295">
      <w:pPr>
        <w:pStyle w:val="ListParagraph"/>
        <w:numPr>
          <w:ilvl w:val="0"/>
          <w:numId w:val="10"/>
        </w:numPr>
        <w:spacing w:line="240" w:lineRule="auto"/>
      </w:pPr>
      <w:r>
        <w:t xml:space="preserve">Describe a case where it might be OK to use </w:t>
      </w:r>
      <w:r>
        <w:rPr>
          <w:b/>
        </w:rPr>
        <w:t>staged disclosure.</w:t>
      </w:r>
    </w:p>
    <w:p w14:paraId="5CD0B0E8" w14:textId="3F3CC9F7" w:rsidR="00FD4B5E" w:rsidRPr="00F60E21" w:rsidRDefault="00FD4B5E" w:rsidP="00132295">
      <w:pPr>
        <w:pStyle w:val="ListParagraph"/>
        <w:numPr>
          <w:ilvl w:val="0"/>
          <w:numId w:val="10"/>
        </w:numPr>
        <w:spacing w:line="240" w:lineRule="auto"/>
      </w:pPr>
      <w:r>
        <w:t>Give examples of conduct (besides those given above) that would violate patients’ right to (a) informational privacy, (b) physical privacy, (c) decisional privacy, (d) proprietary privacy, and (e) relational/associational privacy.</w:t>
      </w:r>
    </w:p>
    <w:p w14:paraId="21209665" w14:textId="6563E9ED" w:rsidR="00220D76" w:rsidRDefault="00220D76" w:rsidP="00132295">
      <w:pPr>
        <w:pStyle w:val="Heading2"/>
        <w:spacing w:line="240" w:lineRule="auto"/>
      </w:pPr>
      <w:r>
        <w:t>Case Study</w:t>
      </w:r>
      <w:r w:rsidR="00A967B6">
        <w:t xml:space="preserve">: </w:t>
      </w:r>
      <w:r w:rsidR="00A967B6" w:rsidRPr="00A967B6">
        <w:t>Disclosing Information about the Risk of Inherited Disease</w:t>
      </w:r>
      <w:r w:rsidR="008E48C6">
        <w:rPr>
          <w:rStyle w:val="FootnoteReference"/>
        </w:rPr>
        <w:footnoteReference w:id="3"/>
      </w:r>
    </w:p>
    <w:p w14:paraId="4CB7E47C" w14:textId="05FC0B84" w:rsidR="00360FEF" w:rsidRPr="00132295" w:rsidRDefault="008E48C6" w:rsidP="00132295">
      <w:pPr>
        <w:spacing w:line="240" w:lineRule="auto"/>
        <w:rPr>
          <w:sz w:val="18"/>
          <w:szCs w:val="18"/>
        </w:rPr>
      </w:pPr>
      <w:r w:rsidRPr="00132295">
        <w:rPr>
          <w:sz w:val="18"/>
          <w:szCs w:val="18"/>
        </w:rPr>
        <w:t>“</w:t>
      </w:r>
      <w:r w:rsidR="00360FEF" w:rsidRPr="00132295">
        <w:rPr>
          <w:sz w:val="18"/>
          <w:szCs w:val="18"/>
        </w:rPr>
        <w:t>Mrs. Durham was diagnosed with an invasive epithelial ovarian cancer and, in conjunction with conversations about her treatment, was offered genetic testing for the BRCA1 and BRCA2 mutations. It was revealed that she carried a harmful BRCA1 mutation that is known to increase the lifetime risk of breast and ovarian cancer significantly. Once the results came back, her oncologist brought up the option of a prophylactic mastectomy and advised her to inform her living relatives of the results of the test.</w:t>
      </w:r>
    </w:p>
    <w:p w14:paraId="3F16486F" w14:textId="77777777" w:rsidR="00360FEF" w:rsidRPr="00132295" w:rsidRDefault="00360FEF" w:rsidP="00132295">
      <w:pPr>
        <w:spacing w:line="240" w:lineRule="auto"/>
        <w:rPr>
          <w:sz w:val="18"/>
          <w:szCs w:val="18"/>
        </w:rPr>
      </w:pPr>
      <w:r w:rsidRPr="00132295">
        <w:rPr>
          <w:sz w:val="18"/>
          <w:szCs w:val="18"/>
        </w:rPr>
        <w:t>Mrs. Durham’s primary care physician, Dr. Bartlett, expected she would do so, too. At her first appointment after the diagnosis, Dr. Bartlett asked Mrs. Durham how she was holding up and how her sister, Mrs. Weir—her only living family member and also one of Dr. Bartlett’s patients—had taken the news.</w:t>
      </w:r>
    </w:p>
    <w:p w14:paraId="08E61049" w14:textId="77777777" w:rsidR="00360FEF" w:rsidRPr="00132295" w:rsidRDefault="00360FEF" w:rsidP="00132295">
      <w:pPr>
        <w:spacing w:line="240" w:lineRule="auto"/>
        <w:rPr>
          <w:sz w:val="18"/>
          <w:szCs w:val="18"/>
        </w:rPr>
      </w:pPr>
      <w:r w:rsidRPr="00132295">
        <w:rPr>
          <w:sz w:val="18"/>
          <w:szCs w:val="18"/>
        </w:rPr>
        <w:t>“Oh. Well, I haven’t told her.”</w:t>
      </w:r>
    </w:p>
    <w:p w14:paraId="3E05D16F" w14:textId="77777777" w:rsidR="00360FEF" w:rsidRPr="00132295" w:rsidRDefault="00360FEF" w:rsidP="00132295">
      <w:pPr>
        <w:spacing w:line="240" w:lineRule="auto"/>
        <w:rPr>
          <w:sz w:val="18"/>
          <w:szCs w:val="18"/>
        </w:rPr>
      </w:pPr>
      <w:r w:rsidRPr="00132295">
        <w:rPr>
          <w:sz w:val="18"/>
          <w:szCs w:val="18"/>
        </w:rPr>
        <w:t>“Are you going to?” asked Dr. Bartlett.</w:t>
      </w:r>
    </w:p>
    <w:p w14:paraId="4311F64A" w14:textId="77777777" w:rsidR="00360FEF" w:rsidRPr="00132295" w:rsidRDefault="00360FEF" w:rsidP="00132295">
      <w:pPr>
        <w:spacing w:line="240" w:lineRule="auto"/>
        <w:rPr>
          <w:sz w:val="18"/>
          <w:szCs w:val="18"/>
        </w:rPr>
      </w:pPr>
      <w:r w:rsidRPr="00132295">
        <w:rPr>
          <w:sz w:val="18"/>
          <w:szCs w:val="18"/>
        </w:rPr>
        <w:t>Mrs. Durham responded, “You know we haven’t spoken in quite some time, and I can’t imagine making this the topic of our first conversation.”</w:t>
      </w:r>
    </w:p>
    <w:p w14:paraId="780A5A0D" w14:textId="77777777" w:rsidR="00360FEF" w:rsidRPr="00132295" w:rsidRDefault="00360FEF" w:rsidP="00132295">
      <w:pPr>
        <w:spacing w:line="240" w:lineRule="auto"/>
        <w:rPr>
          <w:sz w:val="18"/>
          <w:szCs w:val="18"/>
        </w:rPr>
      </w:pPr>
      <w:r w:rsidRPr="00132295">
        <w:rPr>
          <w:sz w:val="18"/>
          <w:szCs w:val="18"/>
        </w:rPr>
        <w:t>“Yes, I know…but I think this is important information that may affect her health.”</w:t>
      </w:r>
    </w:p>
    <w:p w14:paraId="3387198D" w14:textId="77777777" w:rsidR="00360FEF" w:rsidRPr="00132295" w:rsidRDefault="00360FEF" w:rsidP="00132295">
      <w:pPr>
        <w:spacing w:line="240" w:lineRule="auto"/>
        <w:rPr>
          <w:sz w:val="18"/>
          <w:szCs w:val="18"/>
        </w:rPr>
      </w:pPr>
      <w:r w:rsidRPr="00132295">
        <w:rPr>
          <w:sz w:val="18"/>
          <w:szCs w:val="18"/>
        </w:rPr>
        <w:t>Mrs. Durham sighed. “We’re estranged, for one thing, and for another, I want to keep my cancer private. I don’t want people knowing I’m sick and pitying me.”</w:t>
      </w:r>
    </w:p>
    <w:p w14:paraId="78FFD99D" w14:textId="79D32364" w:rsidR="007D3E65" w:rsidRPr="00132295" w:rsidRDefault="3C39664D" w:rsidP="00132295">
      <w:pPr>
        <w:spacing w:line="240" w:lineRule="auto"/>
        <w:rPr>
          <w:b/>
          <w:sz w:val="18"/>
          <w:szCs w:val="18"/>
        </w:rPr>
      </w:pPr>
      <w:r w:rsidRPr="00132295">
        <w:rPr>
          <w:sz w:val="18"/>
          <w:szCs w:val="18"/>
        </w:rPr>
        <w:t>Dr. Bartlett felt pulled in two directions—his obligation to respect Mrs. Durham’s wishes and protect her privacy conflicted with his obligation to promote Mrs. Weir’s health. BRCA1 mutations are not “reportable” illnesses like HIV and tuberculosis, so he was not compelled by law to break Mrs. Durham’s confidentiality. Dr. Bartlett considered how he might be able to encourage Mrs. Durham’s sister to be tested for the BRCA mutations while preserving Mrs. Durham’s confidentiality.</w:t>
      </w:r>
      <w:r w:rsidR="008E48C6" w:rsidRPr="00132295">
        <w:rPr>
          <w:sz w:val="18"/>
          <w:szCs w:val="18"/>
        </w:rPr>
        <w:t>”</w:t>
      </w:r>
      <w:r w:rsidRPr="00132295">
        <w:rPr>
          <w:sz w:val="18"/>
          <w:szCs w:val="18"/>
        </w:rPr>
        <w:t xml:space="preserve"> </w:t>
      </w:r>
      <w:r w:rsidRPr="00132295">
        <w:rPr>
          <w:b/>
          <w:sz w:val="18"/>
          <w:szCs w:val="18"/>
        </w:rPr>
        <w:t xml:space="preserve">What should </w:t>
      </w:r>
      <w:r w:rsidRPr="00132295">
        <w:rPr>
          <w:b/>
          <w:bCs/>
          <w:sz w:val="18"/>
          <w:szCs w:val="18"/>
        </w:rPr>
        <w:t>Dr</w:t>
      </w:r>
      <w:r w:rsidRPr="00132295">
        <w:rPr>
          <w:b/>
          <w:sz w:val="18"/>
          <w:szCs w:val="18"/>
        </w:rPr>
        <w:t>. Bartlett do?</w:t>
      </w:r>
    </w:p>
    <w:sectPr w:rsidR="007D3E65" w:rsidRPr="00132295" w:rsidSect="00BB127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A35A8" w14:textId="77777777" w:rsidR="008E48C6" w:rsidRDefault="008E48C6" w:rsidP="008E48C6">
      <w:pPr>
        <w:spacing w:before="0" w:after="0" w:line="240" w:lineRule="auto"/>
      </w:pPr>
      <w:r>
        <w:separator/>
      </w:r>
    </w:p>
  </w:endnote>
  <w:endnote w:type="continuationSeparator" w:id="0">
    <w:p w14:paraId="53BF0C3A" w14:textId="77777777" w:rsidR="008E48C6" w:rsidRDefault="008E48C6" w:rsidP="008E48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F01F5" w14:textId="77777777" w:rsidR="008E48C6" w:rsidRDefault="008E48C6" w:rsidP="008E48C6">
      <w:pPr>
        <w:spacing w:before="0" w:after="0" w:line="240" w:lineRule="auto"/>
      </w:pPr>
      <w:r>
        <w:separator/>
      </w:r>
    </w:p>
  </w:footnote>
  <w:footnote w:type="continuationSeparator" w:id="0">
    <w:p w14:paraId="0734E020" w14:textId="77777777" w:rsidR="008E48C6" w:rsidRDefault="008E48C6" w:rsidP="008E48C6">
      <w:pPr>
        <w:spacing w:before="0" w:after="0" w:line="240" w:lineRule="auto"/>
      </w:pPr>
      <w:r>
        <w:continuationSeparator/>
      </w:r>
    </w:p>
  </w:footnote>
  <w:footnote w:id="1">
    <w:p w14:paraId="16D91A77" w14:textId="79BEC061" w:rsidR="00132295" w:rsidRDefault="00132295">
      <w:pPr>
        <w:pStyle w:val="FootnoteText"/>
      </w:pPr>
      <w:r>
        <w:rPr>
          <w:rStyle w:val="FootnoteReference"/>
        </w:rPr>
        <w:footnoteRef/>
      </w:r>
      <w:r>
        <w:t xml:space="preserve"> For a short, but nuanced, take on withholding information see </w:t>
      </w:r>
      <w:r>
        <w:fldChar w:fldCharType="begin"/>
      </w:r>
      <w:r>
        <w:instrText xml:space="preserve"> ADDIN ZOTERO_ITEM CSL_CITATION {"citationID":"0lKm5OTd","properties":{"formattedCitation":"Ronald M. Epstein, David N. Korones, and Timothy E. Quill, \\uc0\\u8220{}Withholding Information from Patients \\uc0\\u8212{} When Less Is More,\\uc0\\u8221{} {\\i{}New England Journal of Medicine} 362, no. 5 (February 4, 2010): 380\\uc0\\u8211{}81, https://doi.org/10.1056/NEJMp0911835.","plainCitation":"Ronald M. Epstein, David N. Korones, and Timothy E. Quill, “Withholding Information from Patients — When Less Is More,” New England Journal of Medicine 362, no. 5 (February 4, 2010): 380–81, https://doi.org/10.1056/NEJMp0911835.","noteIndex":1},"citationItems":[{"id":2119,"uris":["http://zotero.org/users/1522585/items/GV3MCCS3"],"uri":["http://zotero.org/users/1522585/items/GV3MCCS3"],"itemData":{"id":2119,"type":"article-journal","title":"Withholding Information from Patients — When Less Is More","container-title":"New England Journal of Medicine","page":"380-381","volume":"362","issue":"5","source":"Taylor and Francis+NEJM","abstract":"As clinicians who strongly value truth telling and active patient involvement in medical decision making,1 we have lately been reflecting on the circumstances in which physicians consciously (and sometimes unconsciously) withhold from patients information about their conditions, treatments, and outcomes. The ethical principle of autonomy would suggest that patients should always be fully informed, not only so that they can make the best possible decisions, but also because information helps them to make sense of and cope with illness. However, since information can sometimes increase patients' cognitive and emotional burden and lead to greater confusion rather than clarity, the right . . .","DOI":"10.1056/NEJMp0911835","ISSN":"0028-4793","note":"PMID: 20130252","author":[{"family":"Epstein","given":"Ronald M."},{"family":"Korones","given":"David N."},{"family":"Quill","given":"Timothy E."}],"issued":{"date-parts":[["2010",2,4]]}}}],"schema":"https://github.com/citation-style-language/schema/raw/master/csl-citation.json"} </w:instrText>
      </w:r>
      <w:r>
        <w:fldChar w:fldCharType="separate"/>
      </w:r>
      <w:r w:rsidRPr="00132295">
        <w:rPr>
          <w:rFonts w:ascii="Garamond" w:hAnsi="Garamond" w:cs="Times New Roman"/>
          <w:szCs w:val="24"/>
        </w:rPr>
        <w:t xml:space="preserve">Ronald M. Epstein, David N. Korones, and Timothy E. Quill, “Withholding Information from Patients — When Less Is More,” </w:t>
      </w:r>
      <w:r w:rsidRPr="00132295">
        <w:rPr>
          <w:rFonts w:ascii="Garamond" w:hAnsi="Garamond" w:cs="Times New Roman"/>
          <w:i/>
          <w:iCs/>
          <w:szCs w:val="24"/>
        </w:rPr>
        <w:t>New England Journal of Medicine</w:t>
      </w:r>
      <w:r w:rsidRPr="00132295">
        <w:rPr>
          <w:rFonts w:ascii="Garamond" w:hAnsi="Garamond" w:cs="Times New Roman"/>
          <w:szCs w:val="24"/>
        </w:rPr>
        <w:t xml:space="preserve"> 362, no. 5 (February 4, 2010): 380–81, https://doi.org/10.1056/NEJMp0911835.</w:t>
      </w:r>
      <w:r>
        <w:fldChar w:fldCharType="end"/>
      </w:r>
    </w:p>
  </w:footnote>
  <w:footnote w:id="2">
    <w:p w14:paraId="0DE8424E" w14:textId="44A868DD" w:rsidR="00132295" w:rsidRDefault="00132295">
      <w:pPr>
        <w:pStyle w:val="FootnoteText"/>
      </w:pPr>
      <w:r>
        <w:rPr>
          <w:rStyle w:val="FootnoteReference"/>
        </w:rPr>
        <w:footnoteRef/>
      </w:r>
      <w:r>
        <w:t xml:space="preserve"> The SEP has two good articles on privacy: </w:t>
      </w:r>
      <w:r>
        <w:fldChar w:fldCharType="begin"/>
      </w:r>
      <w:r w:rsidR="0036221D">
        <w:instrText xml:space="preserve"> ADDIN ZOTERO_ITEM CSL_CITATION {"citationID":"6Izx2TiX","properties":{"formattedCitation":"Judith DeCew, \\uc0\\u8220{}Privacy,\\uc0\\u8221{} in {\\i{}The Stanford Encyclopedia of Philosophy}, ed. Edward N. Zalta, Spring 2018, 2018, https://plato.stanford.edu/archives/spr2018/entries/privacy/; Anita Allen, \\uc0\\u8220{}Privacy and Medicine,\\uc0\\u8221{} in {\\i{}The Stanford Encyclopedia of Philosophy}, ed. Edward N. Zalta, Winter 2016, 2016, https://plato.stanford.edu/archives/win2016/entries/privacy-medicine/.","plainCitation":"Judith DeCew, “Privacy,” in The Stanford Encyclopedia of Philosophy, ed. Edward N. Zalta, Spring 2018, 2018, https://plato.stanford.edu/archives/spr2018/entries/privacy/; Anita Allen, “Privacy and Medicine,” in The Stanford Encyclopedia of Philosophy, ed. Edward N. Zalta, Winter 2016, 2016, https://plato.stanford.edu/archives/win2016/entries/privacy-medicine/.","noteIndex":2},"citationItems":[{"id":2115,"uris":["http://zotero.org/users/1522585/items/4DJL8274"],"uri":["http://zotero.org/users/1522585/items/4DJL8274"],"itemData":{"id":2115,"type":"chapter","title":"Privacy","container-title":"The Stanford Encyclopedia of Philosophy","edition":"Spring 2018","source":"Stanford Encyclopedia of Philosophy","abstract":"The term “privacy” is used frequently in ordinarylanguage as well as in philosophical, political and legal discussions,yet there is no single definition or analysis or meaning of the term.The concept of privacy has broad historical roots in sociological andanthropological discussions about how extensively it is valued andpreserved in various cultures. Moreover, the concept has historicalorigins in well known philosophical discussions, most notablyAristotle’s distinction between the public sphere of political activityand the private sphere associated with family and domestic life. Yethistorical use of the term is not uniform, and there remains confusionover the meaning, value and scope of the concept of privacy., Early treatises on privacy appeared with the development of privacyprotection in American law from the 1890s onward, and privacyprotection was justified largely on moral grounds. This literaturehelps distinguish descriptive accounts of privacy, describingwhat is in fact protected as private, from normative accountsof privacy defending its value and the extent to which it should beprotected. In these discussions some treat privacy as aninterest with moral value, while others refer to it as a moralor legal right that ought to be protected by society or thelaw. Clearly one can be insensitive to another’s privacy interestswithout violating any right to privacy, if there is one., There are several skeptical and critical accounts of privacy.According to one well known argument there is no right to privacy andthere is nothing special about privacy, because any interest protectedas private can be equally well explained and protected by otherinterests or rights, most notably rights to property and bodilysecurity (Thomson, 1975). Other critiques argue that privacy interestsare not distinctive because the personal interests they protect areeconomically inefficient (Posner, 1981) or that they are not groundedin any adequate legal doctrine (Bork, 1990). Finally, there is thefeminist critique of privacy, that granting special status to privacyis detrimental to women and others because it is used as a shield todominate and control them, silence them, and cover up abuse (MacKinnon,1989)., Nevertheless, most theorists take the view that privacy is ameaningful and valuable concept. Philosophical debates concerningdefinitions of privacy became prominent in the second half of thetwentieth century, and are deeply affected by the development ofprivacy protection in the law. Some defend privacy as focusing oncontrol over information about oneself (Parent, 1983), while othersdefend it as a broader concept required for human dignity (Bloustein,1964), or crucial for intimacy (Gerstein, 1978; Inness, 1992). Othercommentators defend privacy as necessary for the development of variedand meaningful interpersonal relationships (Fried, 1970, Rachels,1975), or as the value that accords us the ability to control theaccess others have to us (Gavison, 1980; Allen, 1988; Moore, 2003), oras a set of norms necessary not only to control access but also toenhance personal expression and choice (Schoeman, 1992), or somecombination of these (DeCew, 1997). Discussion of the concept iscomplicated by the fact that privacy appears to be something we valueto provide a sphere within which we can be free from interference byothers, and yet it also appears to function negatively, as the cloakunder which one can hide domination, degradation, or physical harm towomen and others., This essay will discuss all of these topics, namely, (1) thehistorical roots of the concept of privacy, including the developmentof privacy protection in tort and constitutional law, and thephilosophical responses that privacy is merely reducible to otherinterests or is a coherent concept with fundamental value, (2) thecritiques of privacy as a right, (3) the wide array of philosophicaldefinitions or defenses of privacy as a concept, providing alternativeviews on the meaning and value of privacy (and whether or not it isculturally relative), as well as (4) the challenges to privacy posedin an age of technological advance. Overall, most writers defend thevalue of privacy protection despite the difficulties inherent in itsdefinition and its potential use to shield abuse. A contemporarycollection of essays on privacy provides strong evidence to supportthis point (Paul et al., 2000). The contributing authorsexamine various aspects of the right to privacy and its role in moralphilosophy, legal theory, and public policy. They also addressjustifications and foundational arguments for privacy rights.","URL":"https://plato.stanford.edu/archives/spr2018/entries/privacy/","author":[{"family":"DeCew","given":"Judith"}],"editor":[{"family":"Zalta","given":"Edward N."}],"issued":{"date-parts":[["2018"]]},"accessed":{"date-parts":[["2019",6,6]]}}},{"id":2117,"uris":["http://zotero.org/users/1522585/items/MQPDQ7WJ"],"uri":["http://zotero.org/users/1522585/items/MQPDQ7WJ"],"itemData":{"id":2117,"type":"chapter","title":"Privacy and Medicine","container-title":"The Stanford Encyclopedia of Philosophy","edition":"Winter 2016","source":"Stanford Encyclopedia of Philosophy","abstract":"Individuals, institutions and governments practice, value andprotect medical privacy (Beauchamp and Childress 2008; Humber andAlmeder 2001; Englehardt 2000b). As a general rule, they try to limitaccess to health information and biospecimens, respect health-relateddecisions, and honor both individual and community expectations ofbodily modesty, intimacy, bodily integrity, and self-ownership (Winslade 2014). , First, while information-sharing has grown more common,individualscommonly keep some health concerns to themselves, whether out ofpersonal taste, ethical reserve, etiquette, fear or shame (Rosenberg2000; Buss 1980; Westin 1967). When they share sensitive healthconcerns with others, most individuals employ culturally appropriatediscretion and reserve (Nissenbaum 2009; Goffman 1959, 1963). Becauseof such privacy practices, families, friends, employers, researchersand governments may not acquire all the medical information they want,when they want it (Currie 2005; Etzioni 2000). The riseof social media, smart phones, wearable health monitoring devices andpersonal possession of electronic copies of medical records representdiverse opportunities for intended and unintended disclosures ofhealth-related images and information.The practical ability ofindividuals to control and protect their health privacy is partly afunction of their knowledge of contemporary medical data managementpractices and their social-economic position (Marx 2007). Children,along with adults in active military service, judged mentallyincompetent, dependent on government entitlement programs orincarcerated, lack substantial control over medical privacy (Annas etal. 2013). , Second, many medical professionals, hospitals, insurers and otherentities with access to health information regard maintaining theconfidentiality of medical communications and the security of medicalinformation as paramount professional responsibilities (IOM 1994,2000).  This sensibility extends to social work, mental health andpharmacy records. Moreover, clinical health care providers and medicalresearchers generally seek to accommodate patients’ reasonableexpectations of privacy and are required to do so by state andnational laws (Allen 2011)., Third, societies impose major privacy and private choice-relatedlegal obligations on their members (Westin 1967). Legal obligations ofprivacy bind citizens to one another and also bind health careproviders, insurers, health-data processors, health researchers,public health officials and government (CDT 2008,in Other Internet Resources; DHHS 2015; GAO2001). Thus in a number of legal systems, disclosing a private medicalfact or breaching medical confidentiality can result in civilliability (Solove 2004, 2008). The law imposes obligations to respectinformational privacy (e.g., confidentiality, anonymity, secrecy anddata security); physical privacy (e.g., modesty and bodily integrity);associational privacy (e.g., intimate sharing of death, illness andrecovery); proprietary privacy (e.g., self-ownership and control overpersonal identifiers, genetic data, and biospecimens); and decisionalprivacy (e.g., autonomy and choice in medical decision-making) (Allen2011).","URL":"https://plato.stanford.edu/archives/win2016/entries/privacy-medicine/","author":[{"family":"Allen","given":"Anita"}],"editor":[{"family":"Zalta","given":"Edward N."}],"issued":{"date-parts":[["2016"]]},"accessed":{"date-parts":[["2019",6,6]]}}}],"schema":"https://github.com/citation-style-language/schema/raw/master/csl-citation.json"} </w:instrText>
      </w:r>
      <w:r>
        <w:fldChar w:fldCharType="separate"/>
      </w:r>
      <w:r w:rsidR="0036221D" w:rsidRPr="0036221D">
        <w:rPr>
          <w:rFonts w:ascii="Garamond" w:hAnsi="Garamond" w:cs="Times New Roman"/>
          <w:szCs w:val="24"/>
        </w:rPr>
        <w:t xml:space="preserve">Judith </w:t>
      </w:r>
      <w:proofErr w:type="spellStart"/>
      <w:r w:rsidR="0036221D" w:rsidRPr="0036221D">
        <w:rPr>
          <w:rFonts w:ascii="Garamond" w:hAnsi="Garamond" w:cs="Times New Roman"/>
          <w:szCs w:val="24"/>
        </w:rPr>
        <w:t>DeCew</w:t>
      </w:r>
      <w:proofErr w:type="spellEnd"/>
      <w:r w:rsidR="0036221D" w:rsidRPr="0036221D">
        <w:rPr>
          <w:rFonts w:ascii="Garamond" w:hAnsi="Garamond" w:cs="Times New Roman"/>
          <w:szCs w:val="24"/>
        </w:rPr>
        <w:t xml:space="preserve">, “Privacy,” in </w:t>
      </w:r>
      <w:r w:rsidR="0036221D" w:rsidRPr="0036221D">
        <w:rPr>
          <w:rFonts w:ascii="Garamond" w:hAnsi="Garamond" w:cs="Times New Roman"/>
          <w:i/>
          <w:iCs/>
          <w:szCs w:val="24"/>
        </w:rPr>
        <w:t>The Stanford Encyclopedia of Philosophy</w:t>
      </w:r>
      <w:r w:rsidR="0036221D" w:rsidRPr="0036221D">
        <w:rPr>
          <w:rFonts w:ascii="Garamond" w:hAnsi="Garamond" w:cs="Times New Roman"/>
          <w:szCs w:val="24"/>
        </w:rPr>
        <w:t xml:space="preserve">, ed. Edward N. Zalta, Spring 2018, 2018, https://plato.stanford.edu/archives/spr2018/entries/privacy/; Anita Allen, “Privacy and Medicine,” in </w:t>
      </w:r>
      <w:r w:rsidR="0036221D" w:rsidRPr="0036221D">
        <w:rPr>
          <w:rFonts w:ascii="Garamond" w:hAnsi="Garamond" w:cs="Times New Roman"/>
          <w:i/>
          <w:iCs/>
          <w:szCs w:val="24"/>
        </w:rPr>
        <w:t>The Stanford Encyclopedia of Philosophy</w:t>
      </w:r>
      <w:r w:rsidR="0036221D" w:rsidRPr="0036221D">
        <w:rPr>
          <w:rFonts w:ascii="Garamond" w:hAnsi="Garamond" w:cs="Times New Roman"/>
          <w:szCs w:val="24"/>
        </w:rPr>
        <w:t>, ed. Edward N. Zalta, Winter 2016, 2016, https://plato.stanford.edu/archives/win2016/entries/privacy-medicine/.</w:t>
      </w:r>
      <w:r>
        <w:fldChar w:fldCharType="end"/>
      </w:r>
      <w:r>
        <w:t xml:space="preserve"> </w:t>
      </w:r>
    </w:p>
  </w:footnote>
  <w:footnote w:id="3">
    <w:p w14:paraId="45121C7D" w14:textId="21C854FB" w:rsidR="008E48C6" w:rsidRDefault="008E48C6">
      <w:pPr>
        <w:pStyle w:val="FootnoteText"/>
      </w:pPr>
      <w:r>
        <w:rPr>
          <w:rStyle w:val="FootnoteReference"/>
        </w:rPr>
        <w:footnoteRef/>
      </w:r>
      <w:r>
        <w:t xml:space="preserve"> </w:t>
      </w:r>
      <w:r>
        <w:fldChar w:fldCharType="begin"/>
      </w:r>
      <w:r w:rsidR="0036221D">
        <w:instrText xml:space="preserve"> ADDIN ZOTERO_ITEM CSL_CITATION {"citationID":"UCftAuAH","properties":{"formattedCitation":"Clint Parker, \\uc0\\u8220{}Disclosing Information about the Risk of Inherited Disease,\\uc0\\u8221{} {\\i{}AMA Journal of Ethics} 17, no. 9 (September 1, 2015): 819\\uc0\\u8211{}25, https://doi.org/10.1001/journalofethics.2015.17.9.ecas1-1509.","plainCitation":"Clint Parker, “Disclosing Information about the Risk of Inherited Disease,” AMA Journal of Ethics 17, no. 9 (September 1, 2015): 819–25, https://doi.org/10.1001/journalofethics.2015.17.9.ecas1-1509.","noteIndex":3},"citationItems":[{"id":2112,"uris":["http://zotero.org/users/1522585/items/Q2K6Q2WL"],"uri":["http://zotero.org/users/1522585/items/Q2K6Q2WL"],"itemData":{"id":2112,"type":"article-journal","title":"Disclosing Information about the Risk of Inherited Disease","container-title":"AMA Journal of Ethics","page":"819-825","volume":"17","issue":"9","source":"journalofethics.ama-assn.org","abstract":"When confidential medical information can prevent a serious harm to a third party, the patient’s prima facie right to confidentiality must be balanced against the physician’s prima facie obligation to prevent serious harm to that third party.","DOI":"10.1001/journalofethics.2015.17.9.ecas1-1509.","ISSN":"2376-6980","author":[{"family":"Parker","given":"Clint"}],"issued":{"date-parts":[["2015",9,1]]}}}],"schema":"https://github.com/citation-style-language/schema/raw/master/csl-citation.json"} </w:instrText>
      </w:r>
      <w:r>
        <w:fldChar w:fldCharType="separate"/>
      </w:r>
      <w:r w:rsidRPr="008E48C6">
        <w:rPr>
          <w:rFonts w:ascii="Garamond" w:hAnsi="Garamond" w:cs="Times New Roman"/>
          <w:szCs w:val="24"/>
        </w:rPr>
        <w:t xml:space="preserve">Clint Parker, “Disclosing Information about the Risk of Inherited Disease,” </w:t>
      </w:r>
      <w:r w:rsidRPr="008E48C6">
        <w:rPr>
          <w:rFonts w:ascii="Garamond" w:hAnsi="Garamond" w:cs="Times New Roman"/>
          <w:i/>
          <w:iCs/>
          <w:szCs w:val="24"/>
        </w:rPr>
        <w:t>AMA Journal of Ethics</w:t>
      </w:r>
      <w:r w:rsidRPr="008E48C6">
        <w:rPr>
          <w:rFonts w:ascii="Garamond" w:hAnsi="Garamond" w:cs="Times New Roman"/>
          <w:szCs w:val="24"/>
        </w:rPr>
        <w:t xml:space="preserve"> 17, no. 9 (September 1, 2015): 819–25, https://doi.org/10.1001/journalofethics.2015.17.9.ecas1-1509.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64B"/>
    <w:multiLevelType w:val="hybridMultilevel"/>
    <w:tmpl w:val="F6E41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3D091B"/>
    <w:multiLevelType w:val="hybridMultilevel"/>
    <w:tmpl w:val="241810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840042"/>
    <w:multiLevelType w:val="hybridMultilevel"/>
    <w:tmpl w:val="3388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A010C"/>
    <w:multiLevelType w:val="hybridMultilevel"/>
    <w:tmpl w:val="A612B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93587B"/>
    <w:multiLevelType w:val="hybridMultilevel"/>
    <w:tmpl w:val="772C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F3607"/>
    <w:multiLevelType w:val="hybridMultilevel"/>
    <w:tmpl w:val="B812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056FE"/>
    <w:multiLevelType w:val="hybridMultilevel"/>
    <w:tmpl w:val="50F4F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D20015"/>
    <w:multiLevelType w:val="hybridMultilevel"/>
    <w:tmpl w:val="AC72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3C3F76"/>
    <w:multiLevelType w:val="hybridMultilevel"/>
    <w:tmpl w:val="A2B6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F0FD3"/>
    <w:multiLevelType w:val="hybridMultilevel"/>
    <w:tmpl w:val="E1B20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5"/>
  </w:num>
  <w:num w:numId="5">
    <w:abstractNumId w:val="4"/>
  </w:num>
  <w:num w:numId="6">
    <w:abstractNumId w:val="7"/>
  </w:num>
  <w:num w:numId="7">
    <w:abstractNumId w:val="1"/>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4A5"/>
    <w:rsid w:val="00027246"/>
    <w:rsid w:val="000301B7"/>
    <w:rsid w:val="00056FD9"/>
    <w:rsid w:val="000822E9"/>
    <w:rsid w:val="000A2E1C"/>
    <w:rsid w:val="000B40AB"/>
    <w:rsid w:val="000F6484"/>
    <w:rsid w:val="00132295"/>
    <w:rsid w:val="00134792"/>
    <w:rsid w:val="00155BC9"/>
    <w:rsid w:val="00173CCA"/>
    <w:rsid w:val="001934A3"/>
    <w:rsid w:val="001B7DB6"/>
    <w:rsid w:val="001C5E98"/>
    <w:rsid w:val="001F0603"/>
    <w:rsid w:val="001F1A13"/>
    <w:rsid w:val="002009CB"/>
    <w:rsid w:val="002054ED"/>
    <w:rsid w:val="00213F2A"/>
    <w:rsid w:val="00220D76"/>
    <w:rsid w:val="002243FC"/>
    <w:rsid w:val="002767FE"/>
    <w:rsid w:val="002B3A91"/>
    <w:rsid w:val="002B3AAA"/>
    <w:rsid w:val="002B6816"/>
    <w:rsid w:val="002D76CB"/>
    <w:rsid w:val="002F6365"/>
    <w:rsid w:val="00347A75"/>
    <w:rsid w:val="00360FEF"/>
    <w:rsid w:val="0036221D"/>
    <w:rsid w:val="003E799C"/>
    <w:rsid w:val="00400CD4"/>
    <w:rsid w:val="00411208"/>
    <w:rsid w:val="00412D70"/>
    <w:rsid w:val="00422B28"/>
    <w:rsid w:val="0042553A"/>
    <w:rsid w:val="00473CB8"/>
    <w:rsid w:val="00480FFB"/>
    <w:rsid w:val="0048794C"/>
    <w:rsid w:val="00492EE1"/>
    <w:rsid w:val="004C4393"/>
    <w:rsid w:val="004D672F"/>
    <w:rsid w:val="004E1B64"/>
    <w:rsid w:val="00561B31"/>
    <w:rsid w:val="00562428"/>
    <w:rsid w:val="00570CF1"/>
    <w:rsid w:val="005721B9"/>
    <w:rsid w:val="00575E43"/>
    <w:rsid w:val="00576C33"/>
    <w:rsid w:val="005C00DD"/>
    <w:rsid w:val="005C1180"/>
    <w:rsid w:val="005D360B"/>
    <w:rsid w:val="005E3DBD"/>
    <w:rsid w:val="005F318E"/>
    <w:rsid w:val="006244DE"/>
    <w:rsid w:val="00624731"/>
    <w:rsid w:val="0064066D"/>
    <w:rsid w:val="00711AEF"/>
    <w:rsid w:val="0079562E"/>
    <w:rsid w:val="007D3E65"/>
    <w:rsid w:val="008158C6"/>
    <w:rsid w:val="0084766F"/>
    <w:rsid w:val="00852690"/>
    <w:rsid w:val="00891588"/>
    <w:rsid w:val="008C41D0"/>
    <w:rsid w:val="008E48C6"/>
    <w:rsid w:val="008F1B25"/>
    <w:rsid w:val="00944951"/>
    <w:rsid w:val="0096485D"/>
    <w:rsid w:val="009E4F43"/>
    <w:rsid w:val="009F49C4"/>
    <w:rsid w:val="00A643A7"/>
    <w:rsid w:val="00A70EC6"/>
    <w:rsid w:val="00A82E00"/>
    <w:rsid w:val="00A967B6"/>
    <w:rsid w:val="00AC3D1B"/>
    <w:rsid w:val="00B23F8E"/>
    <w:rsid w:val="00B47FA1"/>
    <w:rsid w:val="00B62D93"/>
    <w:rsid w:val="00BB127A"/>
    <w:rsid w:val="00BB5B34"/>
    <w:rsid w:val="00C24A5D"/>
    <w:rsid w:val="00C50F3B"/>
    <w:rsid w:val="00C714AD"/>
    <w:rsid w:val="00C8305A"/>
    <w:rsid w:val="00D007A2"/>
    <w:rsid w:val="00D23E2F"/>
    <w:rsid w:val="00D72246"/>
    <w:rsid w:val="00DA2CB7"/>
    <w:rsid w:val="00DB5A80"/>
    <w:rsid w:val="00DE6467"/>
    <w:rsid w:val="00E12C08"/>
    <w:rsid w:val="00E21BFC"/>
    <w:rsid w:val="00E5666F"/>
    <w:rsid w:val="00E6398D"/>
    <w:rsid w:val="00E73C8E"/>
    <w:rsid w:val="00E914A5"/>
    <w:rsid w:val="00F0658A"/>
    <w:rsid w:val="00F4493B"/>
    <w:rsid w:val="00F449D8"/>
    <w:rsid w:val="00F60E21"/>
    <w:rsid w:val="00F654D1"/>
    <w:rsid w:val="00F66889"/>
    <w:rsid w:val="00F87319"/>
    <w:rsid w:val="00FC2A3D"/>
    <w:rsid w:val="00FD4B5E"/>
    <w:rsid w:val="3C3966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F97A"/>
  <w15:docId w15:val="{EBBE2BF5-2FE3-4498-BF99-9C152158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A5"/>
    <w:rPr>
      <w:sz w:val="20"/>
      <w:szCs w:val="20"/>
    </w:rPr>
  </w:style>
  <w:style w:type="paragraph" w:styleId="Heading1">
    <w:name w:val="heading 1"/>
    <w:basedOn w:val="Normal"/>
    <w:next w:val="Normal"/>
    <w:link w:val="Heading1Char"/>
    <w:uiPriority w:val="9"/>
    <w:qFormat/>
    <w:rsid w:val="00E914A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914A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914A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914A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14A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14A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14A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14A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14A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4A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914A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914A5"/>
    <w:rPr>
      <w:caps/>
      <w:color w:val="243F60" w:themeColor="accent1" w:themeShade="7F"/>
      <w:spacing w:val="15"/>
    </w:rPr>
  </w:style>
  <w:style w:type="character" w:customStyle="1" w:styleId="Heading4Char">
    <w:name w:val="Heading 4 Char"/>
    <w:basedOn w:val="DefaultParagraphFont"/>
    <w:link w:val="Heading4"/>
    <w:uiPriority w:val="9"/>
    <w:semiHidden/>
    <w:rsid w:val="00E914A5"/>
    <w:rPr>
      <w:caps/>
      <w:color w:val="365F91" w:themeColor="accent1" w:themeShade="BF"/>
      <w:spacing w:val="10"/>
    </w:rPr>
  </w:style>
  <w:style w:type="character" w:customStyle="1" w:styleId="Heading5Char">
    <w:name w:val="Heading 5 Char"/>
    <w:basedOn w:val="DefaultParagraphFont"/>
    <w:link w:val="Heading5"/>
    <w:uiPriority w:val="9"/>
    <w:semiHidden/>
    <w:rsid w:val="00E914A5"/>
    <w:rPr>
      <w:caps/>
      <w:color w:val="365F91" w:themeColor="accent1" w:themeShade="BF"/>
      <w:spacing w:val="10"/>
    </w:rPr>
  </w:style>
  <w:style w:type="character" w:customStyle="1" w:styleId="Heading6Char">
    <w:name w:val="Heading 6 Char"/>
    <w:basedOn w:val="DefaultParagraphFont"/>
    <w:link w:val="Heading6"/>
    <w:uiPriority w:val="9"/>
    <w:semiHidden/>
    <w:rsid w:val="00E914A5"/>
    <w:rPr>
      <w:caps/>
      <w:color w:val="365F91" w:themeColor="accent1" w:themeShade="BF"/>
      <w:spacing w:val="10"/>
    </w:rPr>
  </w:style>
  <w:style w:type="character" w:customStyle="1" w:styleId="Heading7Char">
    <w:name w:val="Heading 7 Char"/>
    <w:basedOn w:val="DefaultParagraphFont"/>
    <w:link w:val="Heading7"/>
    <w:uiPriority w:val="9"/>
    <w:semiHidden/>
    <w:rsid w:val="00E914A5"/>
    <w:rPr>
      <w:caps/>
      <w:color w:val="365F91" w:themeColor="accent1" w:themeShade="BF"/>
      <w:spacing w:val="10"/>
    </w:rPr>
  </w:style>
  <w:style w:type="character" w:customStyle="1" w:styleId="Heading8Char">
    <w:name w:val="Heading 8 Char"/>
    <w:basedOn w:val="DefaultParagraphFont"/>
    <w:link w:val="Heading8"/>
    <w:uiPriority w:val="9"/>
    <w:semiHidden/>
    <w:rsid w:val="00E914A5"/>
    <w:rPr>
      <w:caps/>
      <w:spacing w:val="10"/>
      <w:sz w:val="18"/>
      <w:szCs w:val="18"/>
    </w:rPr>
  </w:style>
  <w:style w:type="character" w:customStyle="1" w:styleId="Heading9Char">
    <w:name w:val="Heading 9 Char"/>
    <w:basedOn w:val="DefaultParagraphFont"/>
    <w:link w:val="Heading9"/>
    <w:uiPriority w:val="9"/>
    <w:semiHidden/>
    <w:rsid w:val="00E914A5"/>
    <w:rPr>
      <w:i/>
      <w:caps/>
      <w:spacing w:val="10"/>
      <w:sz w:val="18"/>
      <w:szCs w:val="18"/>
    </w:rPr>
  </w:style>
  <w:style w:type="paragraph" w:styleId="Caption">
    <w:name w:val="caption"/>
    <w:basedOn w:val="Normal"/>
    <w:next w:val="Normal"/>
    <w:uiPriority w:val="35"/>
    <w:semiHidden/>
    <w:unhideWhenUsed/>
    <w:qFormat/>
    <w:rsid w:val="00E914A5"/>
    <w:rPr>
      <w:b/>
      <w:bCs/>
      <w:color w:val="365F91" w:themeColor="accent1" w:themeShade="BF"/>
      <w:sz w:val="16"/>
      <w:szCs w:val="16"/>
    </w:rPr>
  </w:style>
  <w:style w:type="paragraph" w:styleId="Title">
    <w:name w:val="Title"/>
    <w:basedOn w:val="Normal"/>
    <w:next w:val="Normal"/>
    <w:link w:val="TitleChar"/>
    <w:uiPriority w:val="10"/>
    <w:qFormat/>
    <w:rsid w:val="00E914A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914A5"/>
    <w:rPr>
      <w:caps/>
      <w:color w:val="4F81BD" w:themeColor="accent1"/>
      <w:spacing w:val="10"/>
      <w:kern w:val="28"/>
      <w:sz w:val="52"/>
      <w:szCs w:val="52"/>
    </w:rPr>
  </w:style>
  <w:style w:type="paragraph" w:styleId="Subtitle">
    <w:name w:val="Subtitle"/>
    <w:basedOn w:val="Normal"/>
    <w:next w:val="Normal"/>
    <w:link w:val="SubtitleChar"/>
    <w:uiPriority w:val="11"/>
    <w:qFormat/>
    <w:rsid w:val="00E914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14A5"/>
    <w:rPr>
      <w:caps/>
      <w:color w:val="595959" w:themeColor="text1" w:themeTint="A6"/>
      <w:spacing w:val="10"/>
      <w:sz w:val="24"/>
      <w:szCs w:val="24"/>
    </w:rPr>
  </w:style>
  <w:style w:type="character" w:styleId="Strong">
    <w:name w:val="Strong"/>
    <w:uiPriority w:val="22"/>
    <w:qFormat/>
    <w:rsid w:val="00E914A5"/>
    <w:rPr>
      <w:b/>
      <w:bCs/>
    </w:rPr>
  </w:style>
  <w:style w:type="character" w:styleId="Emphasis">
    <w:name w:val="Emphasis"/>
    <w:uiPriority w:val="20"/>
    <w:qFormat/>
    <w:rsid w:val="00E914A5"/>
    <w:rPr>
      <w:caps/>
      <w:color w:val="243F60" w:themeColor="accent1" w:themeShade="7F"/>
      <w:spacing w:val="5"/>
    </w:rPr>
  </w:style>
  <w:style w:type="paragraph" w:styleId="NoSpacing">
    <w:name w:val="No Spacing"/>
    <w:basedOn w:val="Normal"/>
    <w:link w:val="NoSpacingChar"/>
    <w:uiPriority w:val="1"/>
    <w:qFormat/>
    <w:rsid w:val="00E914A5"/>
    <w:pPr>
      <w:spacing w:before="0" w:after="0" w:line="240" w:lineRule="auto"/>
    </w:pPr>
  </w:style>
  <w:style w:type="character" w:customStyle="1" w:styleId="NoSpacingChar">
    <w:name w:val="No Spacing Char"/>
    <w:basedOn w:val="DefaultParagraphFont"/>
    <w:link w:val="NoSpacing"/>
    <w:uiPriority w:val="1"/>
    <w:rsid w:val="00E914A5"/>
    <w:rPr>
      <w:sz w:val="20"/>
      <w:szCs w:val="20"/>
    </w:rPr>
  </w:style>
  <w:style w:type="paragraph" w:styleId="ListParagraph">
    <w:name w:val="List Paragraph"/>
    <w:basedOn w:val="Normal"/>
    <w:uiPriority w:val="34"/>
    <w:qFormat/>
    <w:rsid w:val="00E914A5"/>
    <w:pPr>
      <w:ind w:left="720"/>
      <w:contextualSpacing/>
    </w:pPr>
  </w:style>
  <w:style w:type="paragraph" w:styleId="Quote">
    <w:name w:val="Quote"/>
    <w:basedOn w:val="Normal"/>
    <w:next w:val="Normal"/>
    <w:link w:val="QuoteChar"/>
    <w:uiPriority w:val="29"/>
    <w:qFormat/>
    <w:rsid w:val="00E914A5"/>
    <w:rPr>
      <w:i/>
      <w:iCs/>
    </w:rPr>
  </w:style>
  <w:style w:type="character" w:customStyle="1" w:styleId="QuoteChar">
    <w:name w:val="Quote Char"/>
    <w:basedOn w:val="DefaultParagraphFont"/>
    <w:link w:val="Quote"/>
    <w:uiPriority w:val="29"/>
    <w:rsid w:val="00E914A5"/>
    <w:rPr>
      <w:i/>
      <w:iCs/>
      <w:sz w:val="20"/>
      <w:szCs w:val="20"/>
    </w:rPr>
  </w:style>
  <w:style w:type="paragraph" w:styleId="IntenseQuote">
    <w:name w:val="Intense Quote"/>
    <w:basedOn w:val="Normal"/>
    <w:next w:val="Normal"/>
    <w:link w:val="IntenseQuoteChar"/>
    <w:uiPriority w:val="30"/>
    <w:qFormat/>
    <w:rsid w:val="00E914A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14A5"/>
    <w:rPr>
      <w:i/>
      <w:iCs/>
      <w:color w:val="4F81BD" w:themeColor="accent1"/>
      <w:sz w:val="20"/>
      <w:szCs w:val="20"/>
    </w:rPr>
  </w:style>
  <w:style w:type="character" w:styleId="SubtleEmphasis">
    <w:name w:val="Subtle Emphasis"/>
    <w:uiPriority w:val="19"/>
    <w:qFormat/>
    <w:rsid w:val="00E914A5"/>
    <w:rPr>
      <w:i/>
      <w:iCs/>
      <w:color w:val="243F60" w:themeColor="accent1" w:themeShade="7F"/>
    </w:rPr>
  </w:style>
  <w:style w:type="character" w:styleId="IntenseEmphasis">
    <w:name w:val="Intense Emphasis"/>
    <w:uiPriority w:val="21"/>
    <w:qFormat/>
    <w:rsid w:val="00E914A5"/>
    <w:rPr>
      <w:b/>
      <w:bCs/>
      <w:caps/>
      <w:color w:val="243F60" w:themeColor="accent1" w:themeShade="7F"/>
      <w:spacing w:val="10"/>
    </w:rPr>
  </w:style>
  <w:style w:type="character" w:styleId="SubtleReference">
    <w:name w:val="Subtle Reference"/>
    <w:uiPriority w:val="31"/>
    <w:qFormat/>
    <w:rsid w:val="00E914A5"/>
    <w:rPr>
      <w:b/>
      <w:bCs/>
      <w:color w:val="4F81BD" w:themeColor="accent1"/>
    </w:rPr>
  </w:style>
  <w:style w:type="character" w:styleId="IntenseReference">
    <w:name w:val="Intense Reference"/>
    <w:uiPriority w:val="32"/>
    <w:qFormat/>
    <w:rsid w:val="00E914A5"/>
    <w:rPr>
      <w:b/>
      <w:bCs/>
      <w:i/>
      <w:iCs/>
      <w:caps/>
      <w:color w:val="4F81BD" w:themeColor="accent1"/>
    </w:rPr>
  </w:style>
  <w:style w:type="character" w:styleId="BookTitle">
    <w:name w:val="Book Title"/>
    <w:uiPriority w:val="33"/>
    <w:qFormat/>
    <w:rsid w:val="00E914A5"/>
    <w:rPr>
      <w:b/>
      <w:bCs/>
      <w:i/>
      <w:iCs/>
      <w:spacing w:val="9"/>
    </w:rPr>
  </w:style>
  <w:style w:type="paragraph" w:styleId="TOCHeading">
    <w:name w:val="TOC Heading"/>
    <w:basedOn w:val="Heading1"/>
    <w:next w:val="Normal"/>
    <w:uiPriority w:val="39"/>
    <w:semiHidden/>
    <w:unhideWhenUsed/>
    <w:qFormat/>
    <w:rsid w:val="00E914A5"/>
    <w:pPr>
      <w:outlineLvl w:val="9"/>
    </w:pPr>
    <w:rPr>
      <w:lang w:bidi="en-US"/>
    </w:rPr>
  </w:style>
  <w:style w:type="table" w:styleId="TableGrid">
    <w:name w:val="Table Grid"/>
    <w:basedOn w:val="TableNormal"/>
    <w:uiPriority w:val="59"/>
    <w:rsid w:val="00155B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E48C6"/>
    <w:pPr>
      <w:spacing w:before="0" w:after="0" w:line="240" w:lineRule="auto"/>
    </w:pPr>
  </w:style>
  <w:style w:type="character" w:customStyle="1" w:styleId="FootnoteTextChar">
    <w:name w:val="Footnote Text Char"/>
    <w:basedOn w:val="DefaultParagraphFont"/>
    <w:link w:val="FootnoteText"/>
    <w:uiPriority w:val="99"/>
    <w:semiHidden/>
    <w:rsid w:val="008E48C6"/>
    <w:rPr>
      <w:sz w:val="20"/>
      <w:szCs w:val="20"/>
    </w:rPr>
  </w:style>
  <w:style w:type="character" w:styleId="FootnoteReference">
    <w:name w:val="footnote reference"/>
    <w:basedOn w:val="DefaultParagraphFont"/>
    <w:uiPriority w:val="99"/>
    <w:semiHidden/>
    <w:unhideWhenUsed/>
    <w:rsid w:val="008E48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C44DE-CA53-45FA-8940-5CB6523E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Brendan Shea</cp:lastModifiedBy>
  <cp:revision>97</cp:revision>
  <cp:lastPrinted>2019-06-10T15:07:00Z</cp:lastPrinted>
  <dcterms:created xsi:type="dcterms:W3CDTF">2013-07-10T19:28:00Z</dcterms:created>
  <dcterms:modified xsi:type="dcterms:W3CDTF">2019-06-10T15:11:00Z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id="KvBSMesF"/&gt;&lt;style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