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DBEC6" w14:textId="77777777" w:rsidR="0058701C" w:rsidRDefault="00717BB0" w:rsidP="00813A23">
      <w:pPr>
        <w:pStyle w:val="Heading1"/>
        <w:spacing w:line="240" w:lineRule="auto"/>
      </w:pPr>
      <w:r>
        <w:t>How Should We Think About Ethical Issues? Method and Justification</w:t>
      </w:r>
    </w:p>
    <w:p w14:paraId="204BE3BA" w14:textId="0ECCFACC" w:rsidR="002316EE" w:rsidRDefault="002316EE" w:rsidP="00813A23">
      <w:pPr>
        <w:spacing w:line="240" w:lineRule="auto"/>
      </w:pPr>
      <w:r>
        <w:rPr>
          <w:b/>
        </w:rPr>
        <w:t>Learning Outcomes:</w:t>
      </w:r>
      <w:r w:rsidR="00B470EB">
        <w:rPr>
          <w:b/>
        </w:rPr>
        <w:t xml:space="preserve"> </w:t>
      </w:r>
      <w:r w:rsidR="00B470EB">
        <w:t>In this lecture, you’ll learn to:</w:t>
      </w:r>
    </w:p>
    <w:p w14:paraId="68BE249F" w14:textId="424D888E" w:rsidR="00B470EB" w:rsidRDefault="00B470EB" w:rsidP="00B470EB">
      <w:pPr>
        <w:pStyle w:val="ListParagraph"/>
        <w:numPr>
          <w:ilvl w:val="0"/>
          <w:numId w:val="9"/>
        </w:numPr>
        <w:spacing w:line="240" w:lineRule="auto"/>
      </w:pPr>
      <w:r>
        <w:t xml:space="preserve">Explain the differences between the top-down, bottom-up, and </w:t>
      </w:r>
      <w:proofErr w:type="spellStart"/>
      <w:r>
        <w:t>principalism</w:t>
      </w:r>
      <w:proofErr w:type="spellEnd"/>
      <w:r>
        <w:t xml:space="preserve"> approach to bioethics.</w:t>
      </w:r>
    </w:p>
    <w:p w14:paraId="337C9364" w14:textId="5475891F" w:rsidR="00B470EB" w:rsidRDefault="00B470EB" w:rsidP="00B470EB">
      <w:pPr>
        <w:pStyle w:val="ListParagraph"/>
        <w:numPr>
          <w:ilvl w:val="0"/>
          <w:numId w:val="9"/>
        </w:numPr>
        <w:spacing w:line="240" w:lineRule="auto"/>
      </w:pPr>
      <w:r>
        <w:t>Evaluate the method of reflective equilibrium.</w:t>
      </w:r>
    </w:p>
    <w:p w14:paraId="65C8DAA9" w14:textId="19CF2F1B" w:rsidR="002316EE" w:rsidRPr="00B470EB" w:rsidRDefault="00B470EB" w:rsidP="00A26F3E">
      <w:pPr>
        <w:pStyle w:val="ListParagraph"/>
        <w:numPr>
          <w:ilvl w:val="0"/>
          <w:numId w:val="9"/>
        </w:numPr>
        <w:spacing w:line="240" w:lineRule="auto"/>
        <w:rPr>
          <w:b/>
        </w:rPr>
      </w:pPr>
      <w:r>
        <w:t>Reflect on the relationship between metaethical questions and practical ethical decision-making.</w:t>
      </w:r>
      <w:bookmarkStart w:id="0" w:name="_GoBack"/>
      <w:bookmarkEnd w:id="0"/>
    </w:p>
    <w:p w14:paraId="5A7C71B1" w14:textId="00B44F1E" w:rsidR="00717BB0" w:rsidRPr="009B4014" w:rsidRDefault="00717BB0" w:rsidP="00813A23">
      <w:pPr>
        <w:spacing w:line="240" w:lineRule="auto"/>
      </w:pPr>
      <w:r w:rsidRPr="009B4014">
        <w:t xml:space="preserve">In </w:t>
      </w:r>
      <w:r w:rsidRPr="009B4014">
        <w:rPr>
          <w:i/>
        </w:rPr>
        <w:t xml:space="preserve">Principles of Biomedical Ethics, </w:t>
      </w:r>
      <w:r w:rsidRPr="009B4014">
        <w:t>Be</w:t>
      </w:r>
      <w:r w:rsidR="000A65CB" w:rsidRPr="009B4014">
        <w:t>a</w:t>
      </w:r>
      <w:r w:rsidRPr="009B4014">
        <w:t>uchamp and Childress adopt a</w:t>
      </w:r>
      <w:r w:rsidR="00E17032" w:rsidRPr="009B4014">
        <w:t>n approach</w:t>
      </w:r>
      <w:r w:rsidRPr="009B4014">
        <w:t xml:space="preserve"> called </w:t>
      </w:r>
      <w:proofErr w:type="spellStart"/>
      <w:r w:rsidRPr="009B4014">
        <w:t>principlism</w:t>
      </w:r>
      <w:proofErr w:type="spellEnd"/>
      <w:r w:rsidRPr="009B4014">
        <w:t xml:space="preserve">. On this approach, there are multiple equally weighted ethical principles (autonomy, </w:t>
      </w:r>
      <w:r w:rsidR="002B71A9" w:rsidRPr="009B4014">
        <w:t>nonmaleficence</w:t>
      </w:r>
      <w:r w:rsidRPr="009B4014">
        <w:t>, beneficence, and justice) that hold prima facie (“at first glance”, or “unless there is some reason to think that they don’t</w:t>
      </w:r>
      <w:r w:rsidR="00585584" w:rsidRPr="009B4014">
        <w:t>”</w:t>
      </w:r>
      <w:r w:rsidRPr="009B4014">
        <w:t xml:space="preserve">). </w:t>
      </w:r>
      <w:r w:rsidR="00F22E48" w:rsidRPr="009B4014">
        <w:t xml:space="preserve">These principles are based on the common morality, or the set of ethical norms that </w:t>
      </w:r>
      <w:r w:rsidR="00F22E48" w:rsidRPr="009B4014">
        <w:rPr>
          <w:i/>
        </w:rPr>
        <w:t xml:space="preserve">every </w:t>
      </w:r>
      <w:r w:rsidR="00F22E48" w:rsidRPr="009B4014">
        <w:t xml:space="preserve">moral person must commit to. </w:t>
      </w:r>
      <w:r w:rsidR="00316067" w:rsidRPr="009B4014">
        <w:t xml:space="preserve">As we’ve seen, </w:t>
      </w:r>
      <w:r w:rsidR="00585584" w:rsidRPr="009B4014">
        <w:t xml:space="preserve">B-C think that </w:t>
      </w:r>
      <w:proofErr w:type="spellStart"/>
      <w:r w:rsidRPr="009B4014">
        <w:t>principlism</w:t>
      </w:r>
      <w:proofErr w:type="spellEnd"/>
      <w:r w:rsidRPr="009B4014">
        <w:t xml:space="preserve"> can </w:t>
      </w:r>
      <w:r w:rsidR="00316067" w:rsidRPr="009B4014">
        <w:t>cover many of the most important issues of bioethics (such as abortion, assisted suicide, animal rights, and so on), and can also incorporate the best aspects of more traditional ethical theories (utilitarianism, deontology, rights theory, and virtue ethics).</w:t>
      </w:r>
    </w:p>
    <w:p w14:paraId="527EDC9F" w14:textId="6C8F1128" w:rsidR="00316067" w:rsidRDefault="00316067" w:rsidP="00813A23">
      <w:pPr>
        <w:spacing w:line="240" w:lineRule="auto"/>
      </w:pPr>
      <w:r>
        <w:t xml:space="preserve">In this lecture, we’ll discuss some other ways of thinking about ethics. In particular, we’ll focus on what it means for an ethical claim to be </w:t>
      </w:r>
      <w:r>
        <w:rPr>
          <w:b/>
        </w:rPr>
        <w:t xml:space="preserve">justified, </w:t>
      </w:r>
      <w:r>
        <w:t xml:space="preserve">or </w:t>
      </w:r>
      <w:r>
        <w:rPr>
          <w:i/>
        </w:rPr>
        <w:t xml:space="preserve">supported by sufficient reasons. </w:t>
      </w:r>
      <w:r>
        <w:t xml:space="preserve">In ethical discourse, it is not enough just to have </w:t>
      </w:r>
      <w:r>
        <w:rPr>
          <w:i/>
        </w:rPr>
        <w:t xml:space="preserve">some </w:t>
      </w:r>
      <w:r>
        <w:t xml:space="preserve">reasons, or even some </w:t>
      </w:r>
      <w:r>
        <w:rPr>
          <w:i/>
        </w:rPr>
        <w:t xml:space="preserve">good </w:t>
      </w:r>
      <w:r>
        <w:t xml:space="preserve">reasons; one must have sufficient reasons for thinking that your claim is the </w:t>
      </w:r>
      <w:r>
        <w:rPr>
          <w:i/>
        </w:rPr>
        <w:t xml:space="preserve">correct </w:t>
      </w:r>
      <w:r>
        <w:t xml:space="preserve">claim, and that those who disagree with it are </w:t>
      </w:r>
      <w:r>
        <w:rPr>
          <w:i/>
        </w:rPr>
        <w:t xml:space="preserve">incorrect. </w:t>
      </w:r>
      <w:r>
        <w:t xml:space="preserve">In order to “know how to be ethical” one must not only act in the right way, but also be able to </w:t>
      </w:r>
      <w:r>
        <w:rPr>
          <w:i/>
        </w:rPr>
        <w:t xml:space="preserve">defend </w:t>
      </w:r>
      <w:r>
        <w:t xml:space="preserve">this way of acting. One must know the </w:t>
      </w:r>
      <w:r>
        <w:rPr>
          <w:i/>
        </w:rPr>
        <w:t>reasons</w:t>
      </w:r>
      <w:r w:rsidR="009B4014">
        <w:rPr>
          <w:rStyle w:val="FootnoteReference"/>
          <w:i/>
        </w:rPr>
        <w:footnoteReference w:id="1"/>
      </w:r>
      <w:r>
        <w:t>.</w:t>
      </w:r>
    </w:p>
    <w:p w14:paraId="30D844D8" w14:textId="7E71D83F" w:rsidR="00316067" w:rsidRDefault="00AE245C" w:rsidP="00813A23">
      <w:pPr>
        <w:pStyle w:val="Heading2"/>
        <w:spacing w:line="240" w:lineRule="auto"/>
      </w:pPr>
      <w:r>
        <w:t>Alternative 1: Top Down Approach</w:t>
      </w:r>
    </w:p>
    <w:p w14:paraId="6865E32A" w14:textId="77777777" w:rsidR="007B1F55" w:rsidRDefault="007B1F55" w:rsidP="00813A23">
      <w:pPr>
        <w:spacing w:line="240" w:lineRule="auto"/>
      </w:pPr>
      <w:r>
        <w:t xml:space="preserve">One alternative approach to ethical justification is the </w:t>
      </w:r>
      <w:r>
        <w:rPr>
          <w:b/>
        </w:rPr>
        <w:t xml:space="preserve">top down </w:t>
      </w:r>
      <w:r>
        <w:t>approach, which consists of “applying” completely general ethical principles, rules, or theories to particular cases of interest. Two examples are as follows:</w:t>
      </w:r>
    </w:p>
    <w:p w14:paraId="38004C09" w14:textId="6879C936" w:rsidR="00AE245C" w:rsidRDefault="007B1F55" w:rsidP="00813A23">
      <w:pPr>
        <w:pStyle w:val="ListParagraph"/>
        <w:numPr>
          <w:ilvl w:val="0"/>
          <w:numId w:val="1"/>
        </w:numPr>
        <w:spacing w:line="240" w:lineRule="auto"/>
      </w:pPr>
      <w:r>
        <w:rPr>
          <w:b/>
        </w:rPr>
        <w:t xml:space="preserve">Simple Hippocratic Oath. </w:t>
      </w:r>
      <w:r>
        <w:t>“Medical professionals should never, under any circumstances, harm patients [absolute principle</w:t>
      </w:r>
      <w:r w:rsidR="00120E66">
        <w:t>, NOT prima facie</w:t>
      </w:r>
      <w:r>
        <w:t>]. Abortion involves causing harm. So, abortion is immoral.”</w:t>
      </w:r>
    </w:p>
    <w:p w14:paraId="6C3FE1DE" w14:textId="14ABA003" w:rsidR="007B1F55" w:rsidRDefault="007B1F55" w:rsidP="00813A23">
      <w:pPr>
        <w:pStyle w:val="ListParagraph"/>
        <w:numPr>
          <w:ilvl w:val="0"/>
          <w:numId w:val="1"/>
        </w:numPr>
        <w:spacing w:line="240" w:lineRule="auto"/>
      </w:pPr>
      <w:r>
        <w:rPr>
          <w:b/>
        </w:rPr>
        <w:t xml:space="preserve">Act Utilitarianism. </w:t>
      </w:r>
      <w:r>
        <w:t xml:space="preserve">“An ethical person should always maximize net </w:t>
      </w:r>
      <w:proofErr w:type="spellStart"/>
      <w:r>
        <w:t>well being</w:t>
      </w:r>
      <w:proofErr w:type="spellEnd"/>
      <w:r>
        <w:t xml:space="preserve"> [ethical theory]. Involuntary euthanasia of sick, old people who take up lots of medical resources maximizes net </w:t>
      </w:r>
      <w:proofErr w:type="spellStart"/>
      <w:r>
        <w:t>well being</w:t>
      </w:r>
      <w:proofErr w:type="spellEnd"/>
      <w:r>
        <w:t>. So, we should euthanize sick, old people.”</w:t>
      </w:r>
      <w:r w:rsidR="002316EE">
        <w:rPr>
          <w:rStyle w:val="FootnoteReference"/>
        </w:rPr>
        <w:footnoteReference w:id="2"/>
      </w:r>
    </w:p>
    <w:p w14:paraId="3B681E7E" w14:textId="2989EA96" w:rsidR="00B64D30" w:rsidRDefault="00B64D30" w:rsidP="00813A23">
      <w:pPr>
        <w:spacing w:line="240" w:lineRule="auto"/>
      </w:pPr>
      <w:r>
        <w:t>I</w:t>
      </w:r>
      <w:r w:rsidR="00A34662">
        <w:t>n bioethics, the one</w:t>
      </w:r>
      <w:r>
        <w:t xml:space="preserve"> popular version of the top-down approach is defended by </w:t>
      </w:r>
      <w:r w:rsidR="00120E66">
        <w:t xml:space="preserve">Bernard </w:t>
      </w:r>
      <w:r w:rsidRPr="00B64D30">
        <w:t>Gert</w:t>
      </w:r>
      <w:r w:rsidR="00120E66">
        <w:t xml:space="preserve"> and Danner </w:t>
      </w:r>
      <w:proofErr w:type="spellStart"/>
      <w:r w:rsidR="00120E66">
        <w:t>Clouser</w:t>
      </w:r>
      <w:proofErr w:type="spellEnd"/>
      <w:r w:rsidR="009B4014">
        <w:t>, who have defended their approach in a series of articles and books</w:t>
      </w:r>
      <w:r w:rsidR="009B4014">
        <w:rPr>
          <w:rStyle w:val="FootnoteReference"/>
        </w:rPr>
        <w:footnoteReference w:id="3"/>
      </w:r>
      <w:r w:rsidR="00120E66">
        <w:t xml:space="preserve">. </w:t>
      </w:r>
      <w:r w:rsidR="009B4014">
        <w:t xml:space="preserve">In </w:t>
      </w:r>
      <w:r w:rsidR="009B4014">
        <w:rPr>
          <w:i/>
        </w:rPr>
        <w:t xml:space="preserve">Bioethics: A Systematic approach, </w:t>
      </w:r>
      <w:r w:rsidR="009B4014">
        <w:t>they defend</w:t>
      </w:r>
      <w:r w:rsidR="00120E66">
        <w:t xml:space="preserve"> </w:t>
      </w:r>
      <w:r w:rsidR="00120E66">
        <w:rPr>
          <w:b/>
        </w:rPr>
        <w:t xml:space="preserve">“morality as a public system” </w:t>
      </w:r>
      <w:r w:rsidR="00120E66">
        <w:t>(which they argue is based on the common morality) consist</w:t>
      </w:r>
      <w:r w:rsidR="009B4014">
        <w:t>ing</w:t>
      </w:r>
      <w:r w:rsidR="00120E66">
        <w:t xml:space="preserve"> of the following rules, which are held to be </w:t>
      </w:r>
      <w:r w:rsidR="00120E66">
        <w:rPr>
          <w:i/>
        </w:rPr>
        <w:t>absolute</w:t>
      </w:r>
      <w:r w:rsidR="00120E66">
        <w:t>:</w:t>
      </w:r>
    </w:p>
    <w:p w14:paraId="347ACCF6" w14:textId="77777777" w:rsidR="00120E66" w:rsidRPr="00120E66" w:rsidRDefault="00120E66" w:rsidP="00813A23">
      <w:pPr>
        <w:spacing w:line="240" w:lineRule="auto"/>
        <w:rPr>
          <w:i/>
        </w:rPr>
      </w:pPr>
      <w:r w:rsidRPr="00120E66">
        <w:rPr>
          <w:i/>
        </w:rPr>
        <w:t>The first five moral rules prohibit directly causing the five harms.</w:t>
      </w:r>
    </w:p>
    <w:p w14:paraId="6615D514" w14:textId="0C49C9EF" w:rsidR="00120E66" w:rsidRPr="00120E66" w:rsidRDefault="00120E66" w:rsidP="00813A23">
      <w:pPr>
        <w:pStyle w:val="ListParagraph"/>
        <w:numPr>
          <w:ilvl w:val="0"/>
          <w:numId w:val="3"/>
        </w:numPr>
        <w:spacing w:line="240" w:lineRule="auto"/>
        <w:rPr>
          <w:i/>
        </w:rPr>
      </w:pPr>
      <w:r w:rsidRPr="00120E66">
        <w:rPr>
          <w:i/>
        </w:rPr>
        <w:t>Do not kill (includes causing permanent loss of consciousness).</w:t>
      </w:r>
    </w:p>
    <w:p w14:paraId="6E9C46B1" w14:textId="66FD00B0" w:rsidR="00120E66" w:rsidRPr="00120E66" w:rsidRDefault="00120E66" w:rsidP="00813A23">
      <w:pPr>
        <w:pStyle w:val="ListParagraph"/>
        <w:numPr>
          <w:ilvl w:val="0"/>
          <w:numId w:val="3"/>
        </w:numPr>
        <w:spacing w:line="240" w:lineRule="auto"/>
        <w:rPr>
          <w:i/>
        </w:rPr>
      </w:pPr>
      <w:r w:rsidRPr="00120E66">
        <w:rPr>
          <w:i/>
        </w:rPr>
        <w:t>Do not cause pain (includes causing mental pain, e.g., sadness and anxiety).</w:t>
      </w:r>
    </w:p>
    <w:p w14:paraId="44BE98DB" w14:textId="5886A1F1" w:rsidR="00120E66" w:rsidRPr="00120E66" w:rsidRDefault="00120E66" w:rsidP="00813A23">
      <w:pPr>
        <w:pStyle w:val="ListParagraph"/>
        <w:numPr>
          <w:ilvl w:val="0"/>
          <w:numId w:val="3"/>
        </w:numPr>
        <w:spacing w:line="240" w:lineRule="auto"/>
        <w:rPr>
          <w:i/>
        </w:rPr>
      </w:pPr>
      <w:r w:rsidRPr="00120E66">
        <w:rPr>
          <w:i/>
        </w:rPr>
        <w:t>Do not disable (more precisely, do not cause loss of physical, mental, or volitional abilities).</w:t>
      </w:r>
    </w:p>
    <w:p w14:paraId="583DA562" w14:textId="352E5943" w:rsidR="00120E66" w:rsidRPr="00120E66" w:rsidRDefault="00120E66" w:rsidP="00813A23">
      <w:pPr>
        <w:pStyle w:val="ListParagraph"/>
        <w:numPr>
          <w:ilvl w:val="0"/>
          <w:numId w:val="3"/>
        </w:numPr>
        <w:spacing w:line="240" w:lineRule="auto"/>
        <w:rPr>
          <w:i/>
        </w:rPr>
      </w:pPr>
      <w:r w:rsidRPr="00120E66">
        <w:rPr>
          <w:i/>
        </w:rPr>
        <w:t xml:space="preserve">Do not deprive of freedom (includes freedom from being acted upon as well as depriving one of the </w:t>
      </w:r>
      <w:proofErr w:type="gramStart"/>
      <w:r w:rsidRPr="00120E66">
        <w:rPr>
          <w:i/>
        </w:rPr>
        <w:t>opportunity</w:t>
      </w:r>
      <w:proofErr w:type="gramEnd"/>
      <w:r w:rsidRPr="00120E66">
        <w:rPr>
          <w:i/>
        </w:rPr>
        <w:t xml:space="preserve"> to act).</w:t>
      </w:r>
    </w:p>
    <w:p w14:paraId="4FFE8694" w14:textId="1A2F1DB2" w:rsidR="00120E66" w:rsidRPr="00120E66" w:rsidRDefault="00120E66" w:rsidP="00813A23">
      <w:pPr>
        <w:pStyle w:val="ListParagraph"/>
        <w:numPr>
          <w:ilvl w:val="0"/>
          <w:numId w:val="3"/>
        </w:numPr>
        <w:spacing w:line="240" w:lineRule="auto"/>
        <w:rPr>
          <w:i/>
        </w:rPr>
      </w:pPr>
      <w:r w:rsidRPr="00120E66">
        <w:rPr>
          <w:i/>
        </w:rPr>
        <w:t>Do not deprive of pleasure (includes sources of pleasure).</w:t>
      </w:r>
    </w:p>
    <w:p w14:paraId="033BA8BC" w14:textId="6BEA508D" w:rsidR="00120E66" w:rsidRPr="00120E66" w:rsidRDefault="00120E66" w:rsidP="00813A23">
      <w:pPr>
        <w:spacing w:line="240" w:lineRule="auto"/>
        <w:rPr>
          <w:i/>
        </w:rPr>
      </w:pPr>
      <w:r w:rsidRPr="00120E66">
        <w:rPr>
          <w:i/>
        </w:rPr>
        <w:t>The second five moral rules include those rules that, when not followed in particular cases, usually but not always cause harm, and always result in harm being suffered when they are not generally followed.</w:t>
      </w:r>
    </w:p>
    <w:p w14:paraId="22C4E59A" w14:textId="2F5A8FBE" w:rsidR="00120E66" w:rsidRPr="00120E66" w:rsidRDefault="00120E66" w:rsidP="00813A23">
      <w:pPr>
        <w:pStyle w:val="ListParagraph"/>
        <w:numPr>
          <w:ilvl w:val="0"/>
          <w:numId w:val="4"/>
        </w:numPr>
        <w:spacing w:line="240" w:lineRule="auto"/>
        <w:rPr>
          <w:i/>
        </w:rPr>
      </w:pPr>
      <w:r w:rsidRPr="00120E66">
        <w:rPr>
          <w:i/>
        </w:rPr>
        <w:t>Do not deceive (includes more than lying).</w:t>
      </w:r>
    </w:p>
    <w:p w14:paraId="7A85227C" w14:textId="77777777" w:rsidR="00120E66" w:rsidRPr="00120E66" w:rsidRDefault="00120E66" w:rsidP="00813A23">
      <w:pPr>
        <w:pStyle w:val="ListParagraph"/>
        <w:numPr>
          <w:ilvl w:val="0"/>
          <w:numId w:val="4"/>
        </w:numPr>
        <w:spacing w:line="240" w:lineRule="auto"/>
        <w:rPr>
          <w:i/>
        </w:rPr>
      </w:pPr>
      <w:r w:rsidRPr="00120E66">
        <w:rPr>
          <w:i/>
        </w:rPr>
        <w:t>Keep your promise (equivalent to ‘‘Do not break your promise’’).</w:t>
      </w:r>
    </w:p>
    <w:p w14:paraId="4D17D4F5" w14:textId="6088DB8B" w:rsidR="00120E66" w:rsidRPr="00120E66" w:rsidRDefault="00120E66" w:rsidP="00813A23">
      <w:pPr>
        <w:pStyle w:val="ListParagraph"/>
        <w:numPr>
          <w:ilvl w:val="0"/>
          <w:numId w:val="4"/>
        </w:numPr>
        <w:spacing w:line="240" w:lineRule="auto"/>
        <w:rPr>
          <w:i/>
        </w:rPr>
      </w:pPr>
      <w:r w:rsidRPr="00120E66">
        <w:rPr>
          <w:i/>
        </w:rPr>
        <w:t>Do not cheat (primarily involves violating rules of a voluntary activity, e.g., a game).</w:t>
      </w:r>
    </w:p>
    <w:p w14:paraId="2651A7F4" w14:textId="262394E4" w:rsidR="00120E66" w:rsidRPr="00120E66" w:rsidRDefault="00120E66" w:rsidP="00813A23">
      <w:pPr>
        <w:pStyle w:val="ListParagraph"/>
        <w:numPr>
          <w:ilvl w:val="0"/>
          <w:numId w:val="4"/>
        </w:numPr>
        <w:spacing w:line="240" w:lineRule="auto"/>
        <w:rPr>
          <w:i/>
        </w:rPr>
      </w:pPr>
      <w:r w:rsidRPr="00120E66">
        <w:rPr>
          <w:i/>
        </w:rPr>
        <w:t>Obey the law (equivalent to ‘‘Do not break the law’’).</w:t>
      </w:r>
    </w:p>
    <w:p w14:paraId="52983799" w14:textId="767B1344" w:rsidR="00120E66" w:rsidRPr="00120E66" w:rsidRDefault="00120E66" w:rsidP="00813A23">
      <w:pPr>
        <w:pStyle w:val="ListParagraph"/>
        <w:numPr>
          <w:ilvl w:val="0"/>
          <w:numId w:val="4"/>
        </w:numPr>
        <w:spacing w:line="240" w:lineRule="auto"/>
        <w:rPr>
          <w:i/>
        </w:rPr>
      </w:pPr>
      <w:r w:rsidRPr="00120E66">
        <w:rPr>
          <w:i/>
        </w:rPr>
        <w:t>Do your duty (equivalent to ‘‘Do not neglect your duty’’).</w:t>
      </w:r>
    </w:p>
    <w:p w14:paraId="63C59002" w14:textId="1226B775" w:rsidR="00120E66" w:rsidRPr="00B64D30" w:rsidRDefault="00120E66" w:rsidP="00813A23">
      <w:pPr>
        <w:spacing w:line="240" w:lineRule="auto"/>
      </w:pPr>
      <w:r>
        <w:t xml:space="preserve">Gert and </w:t>
      </w:r>
      <w:proofErr w:type="spellStart"/>
      <w:r>
        <w:t>Clouser</w:t>
      </w:r>
      <w:proofErr w:type="spellEnd"/>
      <w:r>
        <w:t xml:space="preserve"> argue that their system does a better job of (a) proving substantive ethical content instead of “empty names” (b) giving specific rules applicable to actual cases, and (c) avoiding potential cases of “conflict” between principles (as often happens in </w:t>
      </w:r>
      <w:proofErr w:type="spellStart"/>
      <w:r>
        <w:t>principlism</w:t>
      </w:r>
      <w:proofErr w:type="spellEnd"/>
      <w:r>
        <w:t>). B-C argue that all of these claims are false, since (a) there is actually quite a bit of content to each principle (that’s why you have to read the whole textbook, and not just remember the principle’s names!), (b) no system, including</w:t>
      </w:r>
      <w:r w:rsidR="00585584">
        <w:t xml:space="preserve"> that of</w:t>
      </w:r>
      <w:r>
        <w:t xml:space="preserve"> Gert and </w:t>
      </w:r>
      <w:proofErr w:type="spellStart"/>
      <w:r>
        <w:t>Clouser</w:t>
      </w:r>
      <w:proofErr w:type="spellEnd"/>
      <w:r>
        <w:t>, can</w:t>
      </w:r>
      <w:r w:rsidR="00A34662">
        <w:t xml:space="preserve"> actually make specific rules that can be mechanically applied to deal with complex real world cases, and (c) moral dilemmas (especially those arising from autonomy and beneficence, both of which Gert and </w:t>
      </w:r>
      <w:proofErr w:type="spellStart"/>
      <w:r w:rsidR="00A34662">
        <w:t>Clouser</w:t>
      </w:r>
      <w:proofErr w:type="spellEnd"/>
      <w:r w:rsidR="00A34662">
        <w:t xml:space="preserve"> say are “not real”) are simply a part of life. B-C note that the final rule “do your duty” can be interpreted as being very similar to their principle of </w:t>
      </w:r>
      <w:r w:rsidR="00983A3C">
        <w:t>beneficence</w:t>
      </w:r>
      <w:r w:rsidR="00A34662">
        <w:t>.</w:t>
      </w:r>
    </w:p>
    <w:p w14:paraId="26FBBFB2" w14:textId="2F194154" w:rsidR="007B1F55" w:rsidRDefault="00405FF7" w:rsidP="00813A23">
      <w:pPr>
        <w:pStyle w:val="Heading2"/>
        <w:spacing w:line="240" w:lineRule="auto"/>
      </w:pPr>
      <w:r>
        <w:t>Alternative 2: The Bottom Up Approach</w:t>
      </w:r>
    </w:p>
    <w:p w14:paraId="3C14C31D" w14:textId="44267A51" w:rsidR="00813A23" w:rsidRPr="00813A23" w:rsidRDefault="00813A23" w:rsidP="00813A23">
      <w:pPr>
        <w:pStyle w:val="Quote"/>
        <w:rPr>
          <w:sz w:val="20"/>
          <w:szCs w:val="20"/>
        </w:rPr>
      </w:pPr>
      <w:r w:rsidRPr="00813A23">
        <w:rPr>
          <w:sz w:val="20"/>
          <w:szCs w:val="20"/>
        </w:rPr>
        <w:t xml:space="preserve">According to this rehabilitated form of casuistry, the greatest confidence in our moral judgments resides not at the level of theory, where we endlessly disagree, but rather at the level of the case, where our intuitions often converge without the benefit of theory. More precisely, moral certitude (or our best approximation thereof) is </w:t>
      </w:r>
      <w:r w:rsidRPr="00813A23">
        <w:rPr>
          <w:sz w:val="20"/>
          <w:szCs w:val="20"/>
        </w:rPr>
        <w:lastRenderedPageBreak/>
        <w:t xml:space="preserve">to be found in so-called paradigm cases, where our intuitions are most strongly reinforced. Moral analysis of a given situation begins, then, with a scrupulous inventory of the particular facts of the case—i.e., the who, what, where, how much, for how long, etc.—on which our judgments so often eventually turn. This nexus of particulars is then compared with the details operative in one or more paradigm cases—i.e., clear-cut examples of right or wrong conduct. In bioethics, many of these paradigms are famous legal cases, such as the case of Karen Quinlan in the area of termination of treatment, or the infamous Tuskegee syphilis study in the area of research ethics. The farther the present case takes us from the decisive features of the paradigm, the less confidence we may have in our judgments. And </w:t>
      </w:r>
      <w:proofErr w:type="gramStart"/>
      <w:r w:rsidRPr="00813A23">
        <w:rPr>
          <w:sz w:val="20"/>
          <w:szCs w:val="20"/>
        </w:rPr>
        <w:t>so</w:t>
      </w:r>
      <w:proofErr w:type="gramEnd"/>
      <w:r w:rsidRPr="00813A23">
        <w:rPr>
          <w:sz w:val="20"/>
          <w:szCs w:val="20"/>
        </w:rPr>
        <w:t xml:space="preserve"> we traverse the moral landscape by means of triangulating between the present case and related paradigm cases.</w:t>
      </w:r>
      <w:r w:rsidR="002316EE">
        <w:rPr>
          <w:rStyle w:val="FootnoteReference"/>
          <w:sz w:val="20"/>
          <w:szCs w:val="20"/>
        </w:rPr>
        <w:footnoteReference w:id="4"/>
      </w:r>
    </w:p>
    <w:p w14:paraId="4D46C5A6" w14:textId="4D616EE5" w:rsidR="00405FF7" w:rsidRDefault="00405FF7" w:rsidP="00813A23">
      <w:pPr>
        <w:spacing w:line="240" w:lineRule="auto"/>
      </w:pPr>
      <w:r>
        <w:t xml:space="preserve">A second approach to ethical justification can be called the </w:t>
      </w:r>
      <w:r>
        <w:rPr>
          <w:b/>
        </w:rPr>
        <w:t xml:space="preserve">bottom-up </w:t>
      </w:r>
      <w:r>
        <w:t xml:space="preserve">approach, and it focuses primarily on </w:t>
      </w:r>
      <w:r>
        <w:rPr>
          <w:i/>
        </w:rPr>
        <w:t xml:space="preserve">particular cases. </w:t>
      </w:r>
      <w:r>
        <w:t xml:space="preserve">Historically, this approach has been known as </w:t>
      </w:r>
      <w:r>
        <w:rPr>
          <w:b/>
        </w:rPr>
        <w:t>casuistry</w:t>
      </w:r>
      <w:r w:rsidR="00243AD3">
        <w:rPr>
          <w:b/>
        </w:rPr>
        <w:t xml:space="preserve"> </w:t>
      </w:r>
      <w:r w:rsidR="00243AD3">
        <w:t xml:space="preserve">or the </w:t>
      </w:r>
      <w:r w:rsidR="00243AD3">
        <w:rPr>
          <w:b/>
        </w:rPr>
        <w:t xml:space="preserve">inductive </w:t>
      </w:r>
      <w:r w:rsidR="00243AD3">
        <w:t>approach</w:t>
      </w:r>
      <w:r>
        <w:rPr>
          <w:b/>
        </w:rPr>
        <w:t xml:space="preserve">. </w:t>
      </w:r>
      <w:r>
        <w:t xml:space="preserve">The approach relies heavily on </w:t>
      </w:r>
      <w:r>
        <w:rPr>
          <w:b/>
        </w:rPr>
        <w:t>arguments from analogy</w:t>
      </w:r>
      <w:r w:rsidR="009D48C5">
        <w:rPr>
          <w:b/>
        </w:rPr>
        <w:t xml:space="preserve"> </w:t>
      </w:r>
      <w:r w:rsidR="009D48C5">
        <w:t xml:space="preserve">and on </w:t>
      </w:r>
      <w:r w:rsidR="009D48C5">
        <w:rPr>
          <w:b/>
        </w:rPr>
        <w:t>case studies.</w:t>
      </w:r>
    </w:p>
    <w:p w14:paraId="5A821FD2" w14:textId="5460B70D" w:rsidR="00405FF7" w:rsidRDefault="00405FF7" w:rsidP="00813A23">
      <w:pPr>
        <w:pStyle w:val="ListParagraph"/>
        <w:numPr>
          <w:ilvl w:val="0"/>
          <w:numId w:val="5"/>
        </w:numPr>
        <w:spacing w:line="240" w:lineRule="auto"/>
      </w:pPr>
      <w:r>
        <w:t>Action 1</w:t>
      </w:r>
      <w:r w:rsidR="009D48C5">
        <w:t xml:space="preserve"> [the </w:t>
      </w:r>
      <w:r w:rsidR="009D48C5">
        <w:rPr>
          <w:b/>
        </w:rPr>
        <w:t>paradigm case]</w:t>
      </w:r>
      <w:r>
        <w:t xml:space="preserve"> has features X, Y, and Z, and was morally OK</w:t>
      </w:r>
      <w:r w:rsidR="009D48C5">
        <w:t xml:space="preserve"> (or morally wrong)</w:t>
      </w:r>
      <w:r>
        <w:t>. Action 2 has features X, Y, and Z. So, action 2 is morally OK</w:t>
      </w:r>
      <w:r w:rsidR="009D48C5">
        <w:t xml:space="preserve"> (or morally wrong)</w:t>
      </w:r>
      <w:r>
        <w:t>.</w:t>
      </w:r>
    </w:p>
    <w:p w14:paraId="27D91802" w14:textId="50B06985" w:rsidR="00405FF7" w:rsidRDefault="00405FF7" w:rsidP="00813A23">
      <w:pPr>
        <w:pStyle w:val="ListParagraph"/>
        <w:numPr>
          <w:ilvl w:val="0"/>
          <w:numId w:val="5"/>
        </w:numPr>
        <w:spacing w:line="240" w:lineRule="auto"/>
      </w:pPr>
      <w:r>
        <w:t>A competent person with a terminal illness in severe pain has the right to kill him- or herself</w:t>
      </w:r>
      <w:r w:rsidR="00585584">
        <w:t xml:space="preserve"> [paradigm case]</w:t>
      </w:r>
      <w:r>
        <w:t>. So, the doctor of this patient has the right to assist in this killing</w:t>
      </w:r>
      <w:r w:rsidR="00585584">
        <w:t xml:space="preserve"> [new case]</w:t>
      </w:r>
      <w:r>
        <w:t>.</w:t>
      </w:r>
    </w:p>
    <w:p w14:paraId="1C8BA793" w14:textId="5C5E7741" w:rsidR="00405FF7" w:rsidRDefault="00243AD3" w:rsidP="00813A23">
      <w:pPr>
        <w:spacing w:line="240" w:lineRule="auto"/>
      </w:pPr>
      <w:r>
        <w:t>Defenders of this approach often emphasize the importance of taking history, culture, and context into account. They often argue that top-down approaches (which re</w:t>
      </w:r>
      <w:r w:rsidR="00585584">
        <w:t>ly on simple theories and rules)</w:t>
      </w:r>
      <w:r>
        <w:t xml:space="preserve"> are far too simplistic.</w:t>
      </w:r>
      <w:r w:rsidR="008921A3">
        <w:t xml:space="preserve"> They also note that while many people disagree on </w:t>
      </w:r>
      <w:r w:rsidR="008921A3" w:rsidRPr="008921A3">
        <w:rPr>
          <w:i/>
        </w:rPr>
        <w:t>theory</w:t>
      </w:r>
      <w:r w:rsidR="008921A3">
        <w:t xml:space="preserve">, they might still agree on particular </w:t>
      </w:r>
      <w:r w:rsidR="008921A3">
        <w:rPr>
          <w:i/>
        </w:rPr>
        <w:t>judgments</w:t>
      </w:r>
      <w:r w:rsidR="008921A3">
        <w:t xml:space="preserve">. So, for example, a Catholic ethicist, a Buddhist ethicist, and an atheist ethicist may disagree on the </w:t>
      </w:r>
      <w:r w:rsidR="008921A3">
        <w:rPr>
          <w:i/>
        </w:rPr>
        <w:t xml:space="preserve">reason </w:t>
      </w:r>
      <w:r w:rsidR="008921A3">
        <w:t xml:space="preserve">that </w:t>
      </w:r>
      <w:r w:rsidR="009D48C5">
        <w:t>is wrong to use children for dangerous research</w:t>
      </w:r>
      <w:r w:rsidR="008921A3">
        <w:t>, but they still</w:t>
      </w:r>
      <w:r w:rsidR="009D48C5">
        <w:t xml:space="preserve"> agree</w:t>
      </w:r>
      <w:r w:rsidR="008921A3">
        <w:t xml:space="preserve"> </w:t>
      </w:r>
      <w:r w:rsidR="00DD7DC1">
        <w:rPr>
          <w:i/>
        </w:rPr>
        <w:t>that it</w:t>
      </w:r>
      <w:r w:rsidR="009D48C5">
        <w:rPr>
          <w:i/>
        </w:rPr>
        <w:t xml:space="preserve"> is</w:t>
      </w:r>
      <w:r w:rsidR="00DD7DC1">
        <w:rPr>
          <w:i/>
        </w:rPr>
        <w:t xml:space="preserve"> </w:t>
      </w:r>
      <w:r w:rsidR="009D48C5">
        <w:rPr>
          <w:i/>
        </w:rPr>
        <w:t>immoral</w:t>
      </w:r>
      <w:r w:rsidR="00DD7DC1">
        <w:rPr>
          <w:i/>
        </w:rPr>
        <w:t>.</w:t>
      </w:r>
      <w:r w:rsidR="009D48C5">
        <w:rPr>
          <w:i/>
        </w:rPr>
        <w:t xml:space="preserve"> </w:t>
      </w:r>
    </w:p>
    <w:p w14:paraId="31F6B967" w14:textId="52ABEAF6" w:rsidR="00DD7DC1" w:rsidRDefault="009D48C5" w:rsidP="00813A23">
      <w:pPr>
        <w:spacing w:line="240" w:lineRule="auto"/>
      </w:pPr>
      <w:r>
        <w:t>B-C agree that analogical reasoning (and case studies) are very important</w:t>
      </w:r>
      <w:r w:rsidR="00585584">
        <w:t xml:space="preserve"> in ethical reasoning</w:t>
      </w:r>
      <w:r>
        <w:t>. However, they also note several import</w:t>
      </w:r>
      <w:r w:rsidR="00E17032">
        <w:t>ant weaknesses of this approach. They conclude that it can’t function as a “stand-alone” method of ethical justification</w:t>
      </w:r>
    </w:p>
    <w:p w14:paraId="3999C372" w14:textId="6D45FDA9" w:rsidR="009D48C5" w:rsidRPr="00B92077" w:rsidRDefault="009D48C5" w:rsidP="00813A23">
      <w:pPr>
        <w:pStyle w:val="ListParagraph"/>
        <w:numPr>
          <w:ilvl w:val="0"/>
          <w:numId w:val="6"/>
        </w:numPr>
        <w:spacing w:line="240" w:lineRule="auto"/>
        <w:rPr>
          <w:i/>
        </w:rPr>
      </w:pPr>
      <w:r>
        <w:t>“</w:t>
      </w:r>
      <w:r>
        <w:rPr>
          <w:b/>
        </w:rPr>
        <w:t xml:space="preserve">How does the justification of a moral judgment in a paradigm case or the </w:t>
      </w:r>
      <w:r w:rsidR="00E17032">
        <w:rPr>
          <w:b/>
        </w:rPr>
        <w:t>choice of a paradigm case occur?</w:t>
      </w:r>
      <w:r>
        <w:rPr>
          <w:b/>
        </w:rPr>
        <w:t xml:space="preserve">” </w:t>
      </w:r>
      <w:r w:rsidR="00585584">
        <w:t>For the bottom-up approach to work, we need to be confident that we</w:t>
      </w:r>
      <w:r>
        <w:t xml:space="preserve"> (</w:t>
      </w:r>
      <w:r w:rsidR="00585584">
        <w:t>1</w:t>
      </w:r>
      <w:r>
        <w:t>)</w:t>
      </w:r>
      <w:r w:rsidR="00585584">
        <w:t xml:space="preserve"> have</w:t>
      </w:r>
      <w:r>
        <w:t xml:space="preserve"> reach</w:t>
      </w:r>
      <w:r w:rsidR="00585584">
        <w:t xml:space="preserve">ed </w:t>
      </w:r>
      <w:r>
        <w:t xml:space="preserve">the right answers in paradigm cases, and (b) </w:t>
      </w:r>
      <w:r w:rsidR="00585584">
        <w:t xml:space="preserve">have a clear understanding </w:t>
      </w:r>
      <w:r>
        <w:t xml:space="preserve">sorts of </w:t>
      </w:r>
      <w:r>
        <w:rPr>
          <w:i/>
        </w:rPr>
        <w:t xml:space="preserve">other </w:t>
      </w:r>
      <w:r>
        <w:t xml:space="preserve">cases are “analogous” to these cases (and thus ought to be decided similarly). In some cases, this seems OK (the Supreme Court makes a good, clear decision, and everyone </w:t>
      </w:r>
      <w:r w:rsidR="00585584">
        <w:t>knows exactly what other cases this decision applies to</w:t>
      </w:r>
      <w:r>
        <w:t xml:space="preserve">). In other cases, however, </w:t>
      </w:r>
      <w:r w:rsidR="00585584">
        <w:t>there is considerable controversy over whether the decision was correct, or (if it was correct) it applies to the case we are currently interested in.</w:t>
      </w:r>
      <w:r w:rsidR="00B92077">
        <w:t xml:space="preserve"> In order </w:t>
      </w:r>
      <w:r w:rsidR="00585584">
        <w:t>to solve these problems</w:t>
      </w:r>
      <w:r w:rsidR="00B92077">
        <w:t>, we need something like principles, rules or theories.</w:t>
      </w:r>
    </w:p>
    <w:p w14:paraId="49A5A6A9" w14:textId="3CA4A9EE" w:rsidR="00B92077" w:rsidRPr="00E17032" w:rsidRDefault="00B92077" w:rsidP="00813A23">
      <w:pPr>
        <w:pStyle w:val="ListParagraph"/>
        <w:numPr>
          <w:ilvl w:val="0"/>
          <w:numId w:val="6"/>
        </w:numPr>
        <w:spacing w:line="240" w:lineRule="auto"/>
        <w:rPr>
          <w:i/>
        </w:rPr>
      </w:pPr>
      <w:r>
        <w:rPr>
          <w:b/>
        </w:rPr>
        <w:t xml:space="preserve">The method can easily be skewed by public opinion, or by biased descriptions/interpretations of cases. </w:t>
      </w:r>
      <w:r>
        <w:t>Applying this method assumes that paradigm cases got it r</w:t>
      </w:r>
      <w:r w:rsidR="00585584">
        <w:t xml:space="preserve">ight, and also that the case we are considering </w:t>
      </w:r>
      <w:r>
        <w:t xml:space="preserve">has been described/interpreted in the right way. It’s trivially true that people </w:t>
      </w:r>
      <w:r>
        <w:rPr>
          <w:i/>
        </w:rPr>
        <w:t xml:space="preserve">feel </w:t>
      </w:r>
      <w:r>
        <w:t>that “oh, it’s obvious these two cases are similar!”, but research has consistently shown that people are actually pretty bad at reasoning by analogy (we tend to see similarities where there aren’t any, or to ignore relevant differences).</w:t>
      </w:r>
      <w:r w:rsidR="00585584">
        <w:t xml:space="preserve"> In short: this method simply makes it </w:t>
      </w:r>
      <w:r w:rsidR="00585584">
        <w:rPr>
          <w:i/>
        </w:rPr>
        <w:t xml:space="preserve">too easy </w:t>
      </w:r>
      <w:r w:rsidR="00585584">
        <w:t>to justify our preexisting biases or prejudices. While this incorporation of ethical principles doesn’t make this problem go away, it can help provide a valuable check against our “gut feelings.”</w:t>
      </w:r>
    </w:p>
    <w:p w14:paraId="71EC8792" w14:textId="0DD42221" w:rsidR="00E17032" w:rsidRDefault="00E17032" w:rsidP="00813A23">
      <w:pPr>
        <w:pStyle w:val="Heading2"/>
        <w:spacing w:line="240" w:lineRule="auto"/>
      </w:pPr>
      <w:r>
        <w:t>Reflective Equilibrium as a Middle Way</w:t>
      </w:r>
    </w:p>
    <w:p w14:paraId="6815225C" w14:textId="0D8D6EEF" w:rsidR="00E17032" w:rsidRDefault="00E17032" w:rsidP="00813A23">
      <w:pPr>
        <w:spacing w:line="240" w:lineRule="auto"/>
      </w:pPr>
      <w:r>
        <w:t xml:space="preserve">B-C describe their own ethical methodology as a form of </w:t>
      </w:r>
      <w:r>
        <w:rPr>
          <w:b/>
        </w:rPr>
        <w:t>reflective equilibrium</w:t>
      </w:r>
      <w:r w:rsidR="002316EE">
        <w:rPr>
          <w:rStyle w:val="FootnoteReference"/>
          <w:b/>
        </w:rPr>
        <w:footnoteReference w:id="5"/>
      </w:r>
      <w:r>
        <w:rPr>
          <w:b/>
        </w:rPr>
        <w:t xml:space="preserve">. </w:t>
      </w:r>
      <w:r>
        <w:t xml:space="preserve">This method was first described by the political philosopher </w:t>
      </w:r>
      <w:r w:rsidRPr="002316EE">
        <w:t>John Rawls</w:t>
      </w:r>
      <w:r w:rsidR="000D1E39">
        <w:rPr>
          <w:b/>
        </w:rPr>
        <w:t xml:space="preserve"> </w:t>
      </w:r>
      <w:r w:rsidR="000D1E39">
        <w:t xml:space="preserve">in his book </w:t>
      </w:r>
      <w:r w:rsidR="000D1E39">
        <w:rPr>
          <w:i/>
        </w:rPr>
        <w:t>A Theory of Justice</w:t>
      </w:r>
      <w:r>
        <w:t>. Rawls describes this as follows:</w:t>
      </w:r>
    </w:p>
    <w:p w14:paraId="6326F8AB" w14:textId="6856FC4E" w:rsidR="00E17032" w:rsidRPr="000D1E39" w:rsidRDefault="00E17032" w:rsidP="00813A23">
      <w:pPr>
        <w:pStyle w:val="Quote"/>
        <w:spacing w:line="240" w:lineRule="auto"/>
        <w:rPr>
          <w:i w:val="0"/>
          <w:sz w:val="20"/>
          <w:szCs w:val="20"/>
        </w:rPr>
      </w:pPr>
      <w:r w:rsidRPr="000D1E39">
        <w:rPr>
          <w:sz w:val="20"/>
          <w:szCs w:val="20"/>
        </w:rPr>
        <w:t>From the standpoint of moral theory, the best account of a person’s sense of justice is not the one which fits his judgments prior to his examining any conception of justice, but rather the one which matches his judgments in reflective equilibrium…[T]his state is one reached after a person has weighed various proposed conceptions and he has either revised his judgments to accord with one of them or held fast to his initial convictions (and the corresponding conception).</w:t>
      </w:r>
      <w:r w:rsidR="000D1E39">
        <w:rPr>
          <w:sz w:val="20"/>
          <w:szCs w:val="20"/>
        </w:rPr>
        <w:t xml:space="preserve"> </w:t>
      </w:r>
    </w:p>
    <w:p w14:paraId="0D9BA907" w14:textId="222100B2" w:rsidR="000D1E39" w:rsidRDefault="000D1E39" w:rsidP="00813A23">
      <w:pPr>
        <w:spacing w:line="240" w:lineRule="auto"/>
      </w:pPr>
      <w:r>
        <w:t xml:space="preserve">B-C describe reflective equilibrium as the idea that “justification in ethics and political philosophy occurs through a reflective testing of moral beliefs, moral principles, judgments, and theoretical postulates with a goal of making them coherent.” The method begins with </w:t>
      </w:r>
      <w:r>
        <w:rPr>
          <w:b/>
        </w:rPr>
        <w:t>considered judgments</w:t>
      </w:r>
      <w:r>
        <w:t>, which are moral principles/beliefs that we are very confident in. For example, this might include things like:</w:t>
      </w:r>
    </w:p>
    <w:p w14:paraId="0099AA25" w14:textId="1417F4D8" w:rsidR="000D1E39" w:rsidRDefault="000D1E39" w:rsidP="00813A23">
      <w:pPr>
        <w:pStyle w:val="ListParagraph"/>
        <w:numPr>
          <w:ilvl w:val="0"/>
          <w:numId w:val="7"/>
        </w:numPr>
        <w:spacing w:line="240" w:lineRule="auto"/>
      </w:pPr>
      <w:r>
        <w:t>“Put the patient’s needs first”</w:t>
      </w:r>
      <w:r w:rsidR="004C70CB">
        <w:t xml:space="preserve"> or “Do no harm” or “Don’t lie, except in exceptional cases” </w:t>
      </w:r>
    </w:p>
    <w:p w14:paraId="5A96288F" w14:textId="4D9EE55E" w:rsidR="004C70CB" w:rsidRDefault="004C70CB" w:rsidP="00813A23">
      <w:pPr>
        <w:pStyle w:val="ListParagraph"/>
        <w:numPr>
          <w:ilvl w:val="0"/>
          <w:numId w:val="7"/>
        </w:numPr>
        <w:spacing w:line="240" w:lineRule="auto"/>
      </w:pPr>
      <w:r>
        <w:t>B-C argue that all of the judgments of the common morality should be treated as considered judgments, and should thus be revised only if there is VERY good reason to do so.</w:t>
      </w:r>
    </w:p>
    <w:p w14:paraId="6C4E0498" w14:textId="0A73F141" w:rsidR="004C70CB" w:rsidRDefault="004C70CB" w:rsidP="00813A23">
      <w:pPr>
        <w:pStyle w:val="ListParagraph"/>
        <w:numPr>
          <w:ilvl w:val="1"/>
          <w:numId w:val="7"/>
        </w:numPr>
        <w:spacing w:line="240" w:lineRule="auto"/>
      </w:pPr>
      <w:r>
        <w:t xml:space="preserve">Why do B-C think this? </w:t>
      </w:r>
      <w:r w:rsidR="002C7580">
        <w:t xml:space="preserve">(1) </w:t>
      </w:r>
      <w:r w:rsidR="00585584">
        <w:t>The common morality</w:t>
      </w:r>
      <w:r w:rsidR="002C7580">
        <w:t xml:space="preserve"> is widely accepted across all known cultures (the </w:t>
      </w:r>
      <w:r w:rsidR="002C7580">
        <w:rPr>
          <w:b/>
        </w:rPr>
        <w:t xml:space="preserve">empirical </w:t>
      </w:r>
      <w:r w:rsidR="002C7580">
        <w:t xml:space="preserve">justification), (2) all major ethical theories support its fundamental conclusions (the </w:t>
      </w:r>
      <w:r w:rsidR="002C7580">
        <w:rPr>
          <w:b/>
        </w:rPr>
        <w:t xml:space="preserve">normative </w:t>
      </w:r>
      <w:r w:rsidR="002C7580">
        <w:t xml:space="preserve">justification), and (3) it’s part of what it means to be “ethical.” In some sense, once you give up the common morality, you simply aren’t talking about ethics any more (the </w:t>
      </w:r>
      <w:r w:rsidR="002C7580">
        <w:rPr>
          <w:b/>
        </w:rPr>
        <w:t xml:space="preserve">conceptual </w:t>
      </w:r>
      <w:r w:rsidR="002C7580">
        <w:t xml:space="preserve">justification). </w:t>
      </w:r>
    </w:p>
    <w:p w14:paraId="5C1F4552" w14:textId="22D5FE5C" w:rsidR="000D1E39" w:rsidRDefault="000D1E39" w:rsidP="00813A23">
      <w:pPr>
        <w:spacing w:line="240" w:lineRule="auto"/>
        <w:rPr>
          <w:b/>
        </w:rPr>
      </w:pPr>
      <w:r>
        <w:t xml:space="preserve">One then builds these core beliefs into a moral general set of principles or rules that can apply to </w:t>
      </w:r>
      <w:r>
        <w:rPr>
          <w:i/>
        </w:rPr>
        <w:t xml:space="preserve">new </w:t>
      </w:r>
      <w:r>
        <w:t xml:space="preserve">cases. In many cases, you will have to choose between (a) giving up on some of the ethical beliefs you had </w:t>
      </w:r>
      <w:r>
        <w:rPr>
          <w:i/>
        </w:rPr>
        <w:t xml:space="preserve">before </w:t>
      </w:r>
      <w:r>
        <w:t xml:space="preserve">starting to think about ethical theory, or (b) changing the ethical theory so that you can keep these beliefs. At the end (which you will never actually reach, since this is a lifelong process), your ethical beliefs, ethical principles/rules/theory, and factual beliefs about the world should be in </w:t>
      </w:r>
      <w:r>
        <w:rPr>
          <w:b/>
        </w:rPr>
        <w:t>wide reflective equilibrium.</w:t>
      </w:r>
    </w:p>
    <w:p w14:paraId="749B6CBC" w14:textId="4ED9EFC7" w:rsidR="00980967" w:rsidRDefault="00980967" w:rsidP="00813A23">
      <w:pPr>
        <w:spacing w:line="240" w:lineRule="auto"/>
      </w:pPr>
      <w:r>
        <w:lastRenderedPageBreak/>
        <w:t xml:space="preserve">They also note several potential </w:t>
      </w:r>
      <w:r w:rsidR="000A65CB">
        <w:t xml:space="preserve">drawbacks </w:t>
      </w:r>
      <w:r>
        <w:t xml:space="preserve">of reflective equilibrium: (a) by itself, it doesn’t tell you </w:t>
      </w:r>
      <w:r w:rsidRPr="00585584">
        <w:rPr>
          <w:i/>
        </w:rPr>
        <w:t>wh</w:t>
      </w:r>
      <w:r w:rsidR="00585584" w:rsidRPr="00585584">
        <w:rPr>
          <w:i/>
        </w:rPr>
        <w:t>ich</w:t>
      </w:r>
      <w:r>
        <w:t xml:space="preserve"> considered judgments to start with (your own? The common morality?), (b) it’s very tough to asses “how well you are doing”, and (c) there may be certain elements of the common morality which simply don’t go together, no matter how hard we try to make them. If so, reflective equilibrium won’t be able to tell us much besides “you need to get rid of one of these things.”</w:t>
      </w:r>
      <w:r w:rsidR="002C7580">
        <w:t xml:space="preserve"> B-C emphasize that they do NOT think we will ever arrive at a nice, neat “common morality theory” that answers all of the ethical questions we can dream up.</w:t>
      </w:r>
    </w:p>
    <w:p w14:paraId="233D4804" w14:textId="6DB51D26" w:rsidR="00980967" w:rsidRDefault="00A538B1" w:rsidP="00813A23">
      <w:pPr>
        <w:pStyle w:val="Heading2"/>
        <w:spacing w:line="240" w:lineRule="auto"/>
      </w:pPr>
      <w:r>
        <w:t>Review Questions</w:t>
      </w:r>
    </w:p>
    <w:p w14:paraId="57B8F5A8" w14:textId="1B62B323" w:rsidR="00A538B1" w:rsidRDefault="000A65CB" w:rsidP="00813A23">
      <w:pPr>
        <w:pStyle w:val="ListParagraph"/>
        <w:numPr>
          <w:ilvl w:val="0"/>
          <w:numId w:val="8"/>
        </w:numPr>
        <w:spacing w:line="240" w:lineRule="auto"/>
      </w:pPr>
      <w:r>
        <w:t xml:space="preserve">In your own words, how would </w:t>
      </w:r>
      <w:proofErr w:type="gramStart"/>
      <w:r>
        <w:t>described</w:t>
      </w:r>
      <w:proofErr w:type="gramEnd"/>
      <w:r>
        <w:t xml:space="preserve"> the difference between the top-down (deductive) approach, the bottom-up (inductive approach), and B-C’s model of “reflective equilibrium.”</w:t>
      </w:r>
    </w:p>
    <w:p w14:paraId="7AD6BECD" w14:textId="039F8593" w:rsidR="000A65CB" w:rsidRDefault="000A65CB" w:rsidP="00813A23">
      <w:pPr>
        <w:pStyle w:val="ListParagraph"/>
        <w:numPr>
          <w:ilvl w:val="0"/>
          <w:numId w:val="8"/>
        </w:numPr>
        <w:spacing w:line="240" w:lineRule="auto"/>
      </w:pPr>
      <w:r>
        <w:t xml:space="preserve">Do you agree with B-C that </w:t>
      </w:r>
      <w:proofErr w:type="spellStart"/>
      <w:r>
        <w:t>principlism</w:t>
      </w:r>
      <w:proofErr w:type="spellEnd"/>
      <w:r>
        <w:t>, with its focus on reflective equilibrium based on the common morality, is a better approach to justifying claims about ethics than the other two approaches? Why or why not?</w:t>
      </w:r>
    </w:p>
    <w:p w14:paraId="1E4A5D72" w14:textId="4C4589CF" w:rsidR="001C781D" w:rsidRPr="00A538B1" w:rsidRDefault="001C781D" w:rsidP="00813A23">
      <w:pPr>
        <w:pStyle w:val="ListParagraph"/>
        <w:numPr>
          <w:ilvl w:val="0"/>
          <w:numId w:val="8"/>
        </w:numPr>
        <w:spacing w:line="240" w:lineRule="auto"/>
      </w:pPr>
      <w:r>
        <w:t>Some recent critics have argued that reflective equilibrium gives too much weight to the “status quo” in that it starts by assuming that our “considered judgments” are more-or-less trustworthy (even though they might be subject to revision). For example, many European and American philosophers writing in the early 19</w:t>
      </w:r>
      <w:r w:rsidRPr="001C781D">
        <w:rPr>
          <w:vertAlign w:val="superscript"/>
        </w:rPr>
        <w:t>th</w:t>
      </w:r>
      <w:r>
        <w:t xml:space="preserve"> century </w:t>
      </w:r>
      <w:r>
        <w:rPr>
          <w:i/>
        </w:rPr>
        <w:t xml:space="preserve">began </w:t>
      </w:r>
      <w:r>
        <w:t xml:space="preserve">with the considered judgments that </w:t>
      </w:r>
      <w:r w:rsidR="00693B5C">
        <w:t xml:space="preserve">women were inferior to </w:t>
      </w:r>
      <w:r>
        <w:t xml:space="preserve">men, </w:t>
      </w:r>
      <w:proofErr w:type="gramStart"/>
      <w:r>
        <w:t>that  black</w:t>
      </w:r>
      <w:proofErr w:type="gramEnd"/>
      <w:r>
        <w:t xml:space="preserve"> people were inferior to white people, that parents basically “owned their children,” and that massive redistribution of wealth from rich to poor was morally wrong. While reflective equilibrium might lead them to reconsider </w:t>
      </w:r>
      <w:r>
        <w:rPr>
          <w:i/>
        </w:rPr>
        <w:t xml:space="preserve">some </w:t>
      </w:r>
      <w:r>
        <w:t xml:space="preserve">of these ideas, it also could (and did!) lead them to reject philosophical theories like utilitarianism, on the grounds that these ideas “were just too radical” or “out of touch with common sense.” </w:t>
      </w:r>
      <w:r>
        <w:rPr>
          <w:b/>
        </w:rPr>
        <w:t>Do you think this a problem with reflective equilibrium? Does B-C’s idea that we ought to start with the “common morality” help? Why or why not?</w:t>
      </w:r>
    </w:p>
    <w:sectPr w:rsidR="001C781D" w:rsidRPr="00A538B1" w:rsidSect="00B470EB">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993F1" w14:textId="77777777" w:rsidR="009B4014" w:rsidRDefault="009B4014" w:rsidP="009B4014">
      <w:pPr>
        <w:spacing w:before="0" w:after="0" w:line="240" w:lineRule="auto"/>
      </w:pPr>
      <w:r>
        <w:separator/>
      </w:r>
    </w:p>
  </w:endnote>
  <w:endnote w:type="continuationSeparator" w:id="0">
    <w:p w14:paraId="0D23E0DD" w14:textId="77777777" w:rsidR="009B4014" w:rsidRDefault="009B4014" w:rsidP="009B40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3184B" w14:textId="77777777" w:rsidR="009B4014" w:rsidRDefault="009B4014" w:rsidP="009B4014">
      <w:pPr>
        <w:spacing w:before="0" w:after="0" w:line="240" w:lineRule="auto"/>
      </w:pPr>
      <w:r>
        <w:separator/>
      </w:r>
    </w:p>
  </w:footnote>
  <w:footnote w:type="continuationSeparator" w:id="0">
    <w:p w14:paraId="3DCCD823" w14:textId="77777777" w:rsidR="009B4014" w:rsidRDefault="009B4014" w:rsidP="009B4014">
      <w:pPr>
        <w:spacing w:before="0" w:after="0" w:line="240" w:lineRule="auto"/>
      </w:pPr>
      <w:r>
        <w:continuationSeparator/>
      </w:r>
    </w:p>
  </w:footnote>
  <w:footnote w:id="1">
    <w:p w14:paraId="47921FBF" w14:textId="11478B36" w:rsidR="009B4014" w:rsidRDefault="009B4014">
      <w:pPr>
        <w:pStyle w:val="FootnoteText"/>
      </w:pPr>
      <w:r>
        <w:rPr>
          <w:rStyle w:val="FootnoteReference"/>
        </w:rPr>
        <w:footnoteRef/>
      </w:r>
      <w:r>
        <w:rPr>
          <w:rStyle w:val="FootnoteReference"/>
        </w:rPr>
        <w:footnoteRef/>
      </w:r>
      <w:r>
        <w:t xml:space="preserve"> The debates here fall under the general heading of “metaethics,” which is a huge field. If you’re interested in debates about the foundations of the ethics, you can start with: </w:t>
      </w:r>
      <w:r>
        <w:fldChar w:fldCharType="begin"/>
      </w:r>
      <w:r w:rsidR="002316EE">
        <w:instrText xml:space="preserve"> ADDIN ZOTERO_ITEM CSL_CITATION {"citationID":"V1VqEb7o","properties":{"formattedCitation":"Richmond Campbell, \\uc0\\u8220{}Moral Epistemology,\\uc0\\u8221{} in {\\i{}The Stanford Encyclopedia of Philosophy}, ed. Edward N. Zalta, Winter 2015, 2015, https://plato.stanford.edu/archives/win2015/entries/moral-epistemology/; Geoff Sayre-McCord, \\uc0\\u8220{}Metaethics,\\uc0\\u8221{} in {\\i{}The Stanford Encyclopedia of Philosophy}, ed. Edward N. Zalta, Summer 2014, 2014, https://plato.stanford.edu/archives/sum2014/entries/metaethics/.","plainCitation":"Richmond Campbell, “Moral Epistemology,” in The Stanford Encyclopedia of Philosophy, ed. Edward N. Zalta, Winter 2015, 2015, https://plato.stanford.edu/archives/win2015/entries/moral-epistemology/; Geoff Sayre-McCord, “Metaethics,” in The Stanford Encyclopedia of Philosophy, ed. Edward N. Zalta, Summer 2014, 2014, https://plato.stanford.edu/archives/sum2014/entries/metaethics/.","noteIndex":1},"citationItems":[{"id":2168,"uris":["http://zotero.org/users/1522585/items/TF74ZCZA"],"uri":["http://zotero.org/users/1522585/items/TF74ZCZA"],"itemData":{"id":2168,"type":"chapter","title":"Moral Epistemology","container-title":"The Stanford Encyclopedia of Philosophy","edition":"Winter 2015","source":"Stanford Encyclopedia of Philosophy","abstract":"How is moral knowledge possible? This question is central in moralepistemology and marks a cluster of problems. The most important arethe following., Arguably, these issues, as central and broad as they are, do not coverall of moral epistemology. To keep the subject manageable, this entryis limited in the following five ways., First, the entry ignores global skepticism, which doubts thepossibility of anyone's having any knowledge at all. Thus, it ignoresthe threat of an unstoppable regress in justifications and Cartesianevil demon scenarios. Nor does it take up the debates betweenfoundationalists and coherentists about the structure ofjustification. These issues (with an exception to be noted) do notraise problems special to moral epistemology. But see the entry forMoral Skepticism., Second, in keeping with the last restriction, the entry takes for grantedthat our capacity to have other kinds of knowledge is not in question.Indeed, the six problems above arise in part because of theimplications of having other kinds of knowledge., Third, the entry assumes that moral knowledge entails (roughly)justified true moral belief. This assumption commits me to theposition that moral knowledge is incompatible with non-cognitivism(the view that moral claims lack cognitive value, such astruth-value). A non-cognitivist, however, may seek to explain how theattitudes or prescriptions expressed in moral claims arejustified. (See Hare 1981, Campbell 1985, Gibbard 1990, and Blackburn1998 for theories of moral justification compatible withnon-cognitivism and the entry on moral skepticism for a discussion of moral justification in general.) Indeed, anexpressivist may invoke a deflationary conception of truth to supportthe idea that we can speak of justified moral beliefs that are “true”— without implying that justified moral beliefs accuratelyrepresent moral reality. Moral justification is discussed below,however, only as it pertains to putatively reliable representations ofmoral reality., Fourth, many important epistemological issues arise in the context ofconsidering specific normative theories or types of normativetheory. (Can virtue ethics explain how we can know what course ofaction is morally acceptable for a situation demanding the exercise ofconflicting virtues?) The focus in this entry is on issues that arespecial to moral epistemology but not tied to a particular type ofnormative theory. The feminist criticism cited, though it arises fromspecific normative concerns, is no exception, since it raises generalworries about how moral knowledge is possible., Fifth, the discussion of the history of moral epistemology is limitedto philosophers, such as Kant and Hume, who have had the most to sayabout these issues and whose responses have been mostinfluential. Other historical positions and additional analysis of thepossibility of a priori moral knowledge will be covered in other SEPentries.","URL":"https://plato.stanford.edu/archives/win2015/entries/moral-epistemology/","author":[{"family":"Campbell","given":"Richmond"}],"editor":[{"family":"Zalta","given":"Edward N."}],"issued":{"date-parts":[["2015"]]},"accessed":{"date-parts":[["2019",6,10]]}}},{"id":2164,"uris":["http://zotero.org/users/1522585/items/ZQA3EJWU"],"uri":["http://zotero.org/users/1522585/items/ZQA3EJWU"],"itemData":{"id":2164,"type":"chapter","title":"Metaethics","container-title":"The Stanford Encyclopedia of Philosophy","edition":"Summer 2014","source":"Stanford Encyclopedia of Philosophy","abstract":"Metaethics is the attempt to understand the metaphysical,epistemological, semantic, and psychological, presuppositions andcommitments of moral thought, talk, and practice. As such, it countswithin its domain a broad range of questions and puzzles, including:Is morality more a matter of taste than truth? Are moral standardsculturally relative? Are there moral facts? If there are moral facts,what is their origin? How is it that they set an appropriate standardfor our behavior?  How might moral facts be related to other facts(about psychology, happiness, human conventions…)? And how dowe learn about the moral facts, if there are any?  These questionslead naturally to puzzles about the meaning of moral claims as well asabout moral truth and the justification of our moralcommitments. Metaethics explores as well the connection betweenvalues, reasons for action, and human motivation, asking how it isthat moral standards might provide us with reasons to do or refrainfrom doing as it demands, and it addresses many of the issues commonlybound up with the nature of freedom and its significance (or not) formoral responsibility.[1]","URL":"https://plato.stanford.edu/archives/sum2014/entries/metaethics/","author":[{"family":"Sayre-McCord","given":"Geoff"}],"editor":[{"family":"Zalta","given":"Edward N."}],"issued":{"date-parts":[["2014"]]},"accessed":{"date-parts":[["2019",6,10]]}}}],"schema":"https://github.com/citation-style-language/schema/raw/master/csl-citation.json"} </w:instrText>
      </w:r>
      <w:r>
        <w:fldChar w:fldCharType="separate"/>
      </w:r>
      <w:r w:rsidR="002316EE" w:rsidRPr="002316EE">
        <w:rPr>
          <w:rFonts w:ascii="Garamond" w:hAnsi="Garamond" w:cs="Times New Roman"/>
          <w:szCs w:val="24"/>
        </w:rPr>
        <w:t xml:space="preserve">Richmond Campbell, “Moral Epistemology,” in </w:t>
      </w:r>
      <w:r w:rsidR="002316EE" w:rsidRPr="002316EE">
        <w:rPr>
          <w:rFonts w:ascii="Garamond" w:hAnsi="Garamond" w:cs="Times New Roman"/>
          <w:i/>
          <w:iCs/>
          <w:szCs w:val="24"/>
        </w:rPr>
        <w:t>The Stanford Encyclopedia of Philosophy</w:t>
      </w:r>
      <w:r w:rsidR="002316EE" w:rsidRPr="002316EE">
        <w:rPr>
          <w:rFonts w:ascii="Garamond" w:hAnsi="Garamond" w:cs="Times New Roman"/>
          <w:szCs w:val="24"/>
        </w:rPr>
        <w:t xml:space="preserve">, ed. Edward N. Zalta, Winter 2015, 2015, https://plato.stanford.edu/archives/win2015/entries/moral-epistemology/; Geoff Sayre-McCord, “Metaethics,” in </w:t>
      </w:r>
      <w:r w:rsidR="002316EE" w:rsidRPr="002316EE">
        <w:rPr>
          <w:rFonts w:ascii="Garamond" w:hAnsi="Garamond" w:cs="Times New Roman"/>
          <w:i/>
          <w:iCs/>
          <w:szCs w:val="24"/>
        </w:rPr>
        <w:t>The Stanford Encyclopedia of Philosophy</w:t>
      </w:r>
      <w:r w:rsidR="002316EE" w:rsidRPr="002316EE">
        <w:rPr>
          <w:rFonts w:ascii="Garamond" w:hAnsi="Garamond" w:cs="Times New Roman"/>
          <w:szCs w:val="24"/>
        </w:rPr>
        <w:t>, ed. Edward N. Zalta, Summer 2014, 2014, https://plato.stanford.edu/archives/sum2014/entries/metaethics/.</w:t>
      </w:r>
      <w:r>
        <w:fldChar w:fldCharType="end"/>
      </w:r>
    </w:p>
  </w:footnote>
  <w:footnote w:id="2">
    <w:p w14:paraId="17263D34" w14:textId="55AFA866" w:rsidR="002316EE" w:rsidRDefault="002316EE">
      <w:pPr>
        <w:pStyle w:val="FootnoteText"/>
      </w:pPr>
      <w:r>
        <w:rPr>
          <w:rStyle w:val="FootnoteReference"/>
        </w:rPr>
        <w:footnoteRef/>
      </w:r>
      <w:r>
        <w:rPr>
          <w:rStyle w:val="FootnoteReference"/>
        </w:rPr>
        <w:footnoteRef/>
      </w:r>
      <w:r>
        <w:t xml:space="preserve"> This isn’t something most utilitarians would agree with! For an example of how act utilitarianism can be applied to ethical issues, see </w:t>
      </w:r>
      <w:r w:rsidRPr="002316EE">
        <w:rPr>
          <w:rFonts w:ascii="Garamond" w:hAnsi="Garamond" w:cs="Times New Roman"/>
          <w:szCs w:val="24"/>
        </w:rPr>
        <w:t xml:space="preserve">Peter Singer, </w:t>
      </w:r>
      <w:r w:rsidRPr="002316EE">
        <w:rPr>
          <w:rFonts w:ascii="Garamond" w:hAnsi="Garamond" w:cs="Times New Roman"/>
          <w:i/>
          <w:iCs/>
          <w:szCs w:val="24"/>
        </w:rPr>
        <w:t>Practical Ethics</w:t>
      </w:r>
      <w:r w:rsidRPr="002316EE">
        <w:rPr>
          <w:rFonts w:ascii="Garamond" w:hAnsi="Garamond" w:cs="Times New Roman"/>
          <w:szCs w:val="24"/>
        </w:rPr>
        <w:t xml:space="preserve">, 3 </w:t>
      </w:r>
      <w:proofErr w:type="gramStart"/>
      <w:r w:rsidRPr="002316EE">
        <w:rPr>
          <w:rFonts w:ascii="Garamond" w:hAnsi="Garamond" w:cs="Times New Roman"/>
          <w:szCs w:val="24"/>
        </w:rPr>
        <w:t>edition</w:t>
      </w:r>
      <w:proofErr w:type="gramEnd"/>
      <w:r w:rsidRPr="002316EE">
        <w:rPr>
          <w:rFonts w:ascii="Garamond" w:hAnsi="Garamond" w:cs="Times New Roman"/>
          <w:szCs w:val="24"/>
        </w:rPr>
        <w:t xml:space="preserve"> (New York: Cambridge University Press, 2011).</w:t>
      </w:r>
    </w:p>
  </w:footnote>
  <w:footnote w:id="3">
    <w:p w14:paraId="2F79088E" w14:textId="5E3A9788" w:rsidR="009B4014" w:rsidRDefault="009B4014">
      <w:pPr>
        <w:pStyle w:val="FootnoteText"/>
      </w:pPr>
      <w:r>
        <w:rPr>
          <w:rStyle w:val="FootnoteReference"/>
        </w:rPr>
        <w:footnoteRef/>
      </w:r>
      <w:r>
        <w:t xml:space="preserve"> </w:t>
      </w:r>
      <w:r>
        <w:fldChar w:fldCharType="begin"/>
      </w:r>
      <w:r w:rsidR="002316EE">
        <w:instrText xml:space="preserve"> ADDIN ZOTERO_ITEM CSL_CITATION {"citationID":"yHk060XH","properties":{"formattedCitation":"Bernard Gert, Charles M Culver, and K. Danner Clouser, {\\i{}Bioethics: A Systematic Approach} (New York: Oxford University Press, 2006); K. Danner Clouser and Bernard Gert, \\uc0\\u8220{}A Critique of Principlism,\\uc0\\u8221{} {\\i{}The Journal of Medicine and Philosophy: A Forum for Bioethics and Philosophy of Medicine} 15, no. 2 (April 1, 1990): 219\\uc0\\u8211{}36, https://doi.org/10.1093/jmp/15.2.219.","plainCitation":"Bernard Gert, Charles M Culver, and K. Danner Clouser, Bioethics: A Systematic Approach (New York: Oxford University Press, 2006); K. Danner Clouser and Bernard Gert, “A Critique of Principlism,” The Journal of Medicine and Philosophy: A Forum for Bioethics and Philosophy of Medicine 15, no. 2 (April 1, 1990): 219–36, https://doi.org/10.1093/jmp/15.2.219.","noteIndex":3},"citationItems":[{"id":403,"uris":["http://zotero.org/users/1522585/items/TBFUNWZZ"],"uri":["http://zotero.org/users/1522585/items/TBFUNWZZ"],"itemData":{"id":403,"type":"book","title":"Bioethics: a systematic approach","publisher":"Oxford University Press","publisher-place":"New York","source":"Open WorldCat","event-place":"New York","ISBN":"0-19-515906-3","title-short":"Bioethics","language":"English","author":[{"family":"Gert","given":"Bernard"},{"family":"Culver","given":"Charles M"},{"family":"Clouser","given":"K. Danner"}],"issued":{"date-parts":[["2006"]]}}},{"id":2158,"uris":["http://zotero.org/users/1522585/items/58BMY9PM"],"uri":["http://zotero.org/users/1522585/items/58BMY9PM"],"itemData":{"id":2158,"type":"article-journal","title":"A Critique of Principlism","container-title":"The Journal of Medicine and Philosophy: A Forum for Bioethics and Philosophy of Medicine","page":"219-236","volume":"15","issue":"2","source":"academic.oup.com","abstract":"Abstract.  The authors use the term “principlism” to refer to the practice of using “principles” to replace both moral theory and particular moral rules and ide","DOI":"10.1093/jmp/15.2.219","ISSN":"0360-5310","journalAbbreviation":"J Med Philos","language":"en","author":[{"family":"Clouser","given":"K. Danner"},{"family":"Gert","given":"Bernard"}],"issued":{"date-parts":[["1990",4,1]]}}}],"schema":"https://github.com/citation-style-language/schema/raw/master/csl-citation.json"} </w:instrText>
      </w:r>
      <w:r>
        <w:fldChar w:fldCharType="separate"/>
      </w:r>
      <w:r w:rsidRPr="009B4014">
        <w:rPr>
          <w:rFonts w:ascii="Garamond" w:hAnsi="Garamond" w:cs="Times New Roman"/>
          <w:szCs w:val="24"/>
        </w:rPr>
        <w:t xml:space="preserve">Bernard Gert, Charles M Culver, and K. Danner </w:t>
      </w:r>
      <w:proofErr w:type="spellStart"/>
      <w:r w:rsidRPr="009B4014">
        <w:rPr>
          <w:rFonts w:ascii="Garamond" w:hAnsi="Garamond" w:cs="Times New Roman"/>
          <w:szCs w:val="24"/>
        </w:rPr>
        <w:t>Clouser</w:t>
      </w:r>
      <w:proofErr w:type="spellEnd"/>
      <w:r w:rsidRPr="009B4014">
        <w:rPr>
          <w:rFonts w:ascii="Garamond" w:hAnsi="Garamond" w:cs="Times New Roman"/>
          <w:szCs w:val="24"/>
        </w:rPr>
        <w:t xml:space="preserve">, </w:t>
      </w:r>
      <w:r w:rsidRPr="009B4014">
        <w:rPr>
          <w:rFonts w:ascii="Garamond" w:hAnsi="Garamond" w:cs="Times New Roman"/>
          <w:i/>
          <w:iCs/>
          <w:szCs w:val="24"/>
        </w:rPr>
        <w:t>Bioethics: A Systematic Approach</w:t>
      </w:r>
      <w:r w:rsidRPr="009B4014">
        <w:rPr>
          <w:rFonts w:ascii="Garamond" w:hAnsi="Garamond" w:cs="Times New Roman"/>
          <w:szCs w:val="24"/>
        </w:rPr>
        <w:t xml:space="preserve"> (New York: Oxford University Press, 2006); K. Danner </w:t>
      </w:r>
      <w:proofErr w:type="spellStart"/>
      <w:r w:rsidRPr="009B4014">
        <w:rPr>
          <w:rFonts w:ascii="Garamond" w:hAnsi="Garamond" w:cs="Times New Roman"/>
          <w:szCs w:val="24"/>
        </w:rPr>
        <w:t>Clouser</w:t>
      </w:r>
      <w:proofErr w:type="spellEnd"/>
      <w:r w:rsidRPr="009B4014">
        <w:rPr>
          <w:rFonts w:ascii="Garamond" w:hAnsi="Garamond" w:cs="Times New Roman"/>
          <w:szCs w:val="24"/>
        </w:rPr>
        <w:t xml:space="preserve"> and Bernard Gert, “A Critique of </w:t>
      </w:r>
      <w:proofErr w:type="spellStart"/>
      <w:r w:rsidRPr="009B4014">
        <w:rPr>
          <w:rFonts w:ascii="Garamond" w:hAnsi="Garamond" w:cs="Times New Roman"/>
          <w:szCs w:val="24"/>
        </w:rPr>
        <w:t>Principlism</w:t>
      </w:r>
      <w:proofErr w:type="spellEnd"/>
      <w:r w:rsidRPr="009B4014">
        <w:rPr>
          <w:rFonts w:ascii="Garamond" w:hAnsi="Garamond" w:cs="Times New Roman"/>
          <w:szCs w:val="24"/>
        </w:rPr>
        <w:t xml:space="preserve">,” </w:t>
      </w:r>
      <w:r w:rsidRPr="009B4014">
        <w:rPr>
          <w:rFonts w:ascii="Garamond" w:hAnsi="Garamond" w:cs="Times New Roman"/>
          <w:i/>
          <w:iCs/>
          <w:szCs w:val="24"/>
        </w:rPr>
        <w:t>The Journal of Medicine and Philosophy: A Forum for Bioethics and Philosophy of Medicine</w:t>
      </w:r>
      <w:r w:rsidRPr="009B4014">
        <w:rPr>
          <w:rFonts w:ascii="Garamond" w:hAnsi="Garamond" w:cs="Times New Roman"/>
          <w:szCs w:val="24"/>
        </w:rPr>
        <w:t xml:space="preserve"> 15, no. 2 (April 1, 1990): 219–36, https://doi.org/10.1093/jmp/15.2.219.</w:t>
      </w:r>
      <w:r>
        <w:fldChar w:fldCharType="end"/>
      </w:r>
    </w:p>
  </w:footnote>
  <w:footnote w:id="4">
    <w:p w14:paraId="132F4142" w14:textId="0E19C453" w:rsidR="002316EE" w:rsidRDefault="002316EE">
      <w:pPr>
        <w:pStyle w:val="FootnoteText"/>
      </w:pPr>
      <w:r>
        <w:rPr>
          <w:rStyle w:val="FootnoteReference"/>
        </w:rPr>
        <w:footnoteRef/>
      </w:r>
      <w:r>
        <w:t xml:space="preserve"> </w:t>
      </w:r>
      <w:r>
        <w:fldChar w:fldCharType="begin"/>
      </w:r>
      <w:r>
        <w:instrText xml:space="preserve"> ADDIN ZOTERO_ITEM CSL_CITATION {"citationID":"kglMUjng","properties":{"formattedCitation":"John Arras, \\uc0\\u8220{}Theory and Bioethics,\\uc0\\u8221{} in {\\i{}The Stanford Encyclopedia of Philosophy}, ed. Edward N. Zalta, Winter 2016, 2016, https://plato.stanford.edu/archives/win2016/entriesheory-bioethics/.","plainCitation":"John Arras, “Theory and Bioethics,” in The Stanford Encyclopedia of Philosophy, ed. Edward N. Zalta, Winter 2016, 2016, https://plato.stanford.edu/archives/win2016/entriesheory-bioethics/.","noteIndex":4},"citationItems":[{"id":2170,"uris":["http://zotero.org/users/1522585/items/BVRC3TCG"],"uri":["http://zotero.org/users/1522585/items/BVRC3TCG"],"itemData":{"id":2170,"type":"chapter","title":"Theory and Bioethics","container-title":"The Stanford Encyclopedia of Philosophy","edition":"Winter 2016","source":"Stanford Encyclopedia of Philosophy","abstract":"As a species of practical ethics, bioethics exhibits a complex andcontested relationship to philosophical theory. On the one hand, manywho teach and write in this interdisciplinary field are philosopherswho naturally believe that their specific contribution to thefield—their “expertise,” if you will—consistsin the application of distinctly philosophical methods, includingvarious kinds of ethical theory, to practical problems arising inbiomedical research, clinical medicine, and public health. But on theother hand, many who work in the area of bioethics, including manyphilosophers, are highly skeptical of the so-called “appliedethics” model of moral reasoning, in which exemplars of hightheory (e.g., consequentialist utilitarianism, Kantian deontology,rights-based theories, natural law, etc.) are directly“applied” to practical problems. Indeed, mostphilosophically-inclined contributors to the bioethics literature haveeschewed high moral theory in favor of various modes of moralreasoning falling on a spectrum between the strong particularism ofvarious strains of casuistry or narrative ethics, on one end, and themid-level norms of the enormously influential“principlism” of Beauchamp and Childress, on the other(Beauchamp and Childress, 2009).[1] According to philosophers RobertK. Fullinwider (2008) and Will Kymlicka (1996), bioethics in thepublic domain can and should go about its business as a species ofethical reflection independently of any reliance upon high-flyingethical theory., This article explores the controversy concerning the role ofphilosophical theory for practical ethics in general and bioethics inparticular. The main body of this entry dialectically canvasses therespective claims for “high theory,” for particularistic“anti-theory,” and for various species of“mid-level” theorizing in between these extremes. Adiscursive taxonomy of the kinds of philosophical theories deployed inpractical ethics—i.e., metaethical, normative,metaphysical—is provided in a  supplement.","URL":"https://plato.stanford.edu/archives/win2016/entriesheory-bioethics/","author":[{"family":"Arras","given":"John"}],"editor":[{"family":"Zalta","given":"Edward N."}],"issued":{"date-parts":[["2016"]]},"accessed":{"date-parts":[["2019",6,10]]}}}],"schema":"https://github.com/citation-style-language/schema/raw/master/csl-citation.json"} </w:instrText>
      </w:r>
      <w:r>
        <w:fldChar w:fldCharType="separate"/>
      </w:r>
      <w:r w:rsidRPr="002316EE">
        <w:rPr>
          <w:rFonts w:ascii="Garamond" w:hAnsi="Garamond" w:cs="Times New Roman"/>
          <w:szCs w:val="24"/>
        </w:rPr>
        <w:t xml:space="preserve">John Arras, “Theory and Bioethics,” in </w:t>
      </w:r>
      <w:r w:rsidRPr="002316EE">
        <w:rPr>
          <w:rFonts w:ascii="Garamond" w:hAnsi="Garamond" w:cs="Times New Roman"/>
          <w:i/>
          <w:iCs/>
          <w:szCs w:val="24"/>
        </w:rPr>
        <w:t>The Stanford Encyclopedia of Philosophy</w:t>
      </w:r>
      <w:r w:rsidRPr="002316EE">
        <w:rPr>
          <w:rFonts w:ascii="Garamond" w:hAnsi="Garamond" w:cs="Times New Roman"/>
          <w:szCs w:val="24"/>
        </w:rPr>
        <w:t>, ed. Edward N. Zalta, Winter 2016, 2016, https://plato.stanford.edu/archives/win2016/entriesheory-bioethics/.</w:t>
      </w:r>
      <w:r>
        <w:fldChar w:fldCharType="end"/>
      </w:r>
    </w:p>
  </w:footnote>
  <w:footnote w:id="5">
    <w:p w14:paraId="05E584F2" w14:textId="5108D83B" w:rsidR="002316EE" w:rsidRDefault="002316EE">
      <w:pPr>
        <w:pStyle w:val="FootnoteText"/>
      </w:pPr>
      <w:r>
        <w:rPr>
          <w:rStyle w:val="FootnoteReference"/>
        </w:rPr>
        <w:footnoteRef/>
      </w:r>
      <w:r>
        <w:t xml:space="preserve"> </w:t>
      </w:r>
      <w:r>
        <w:fldChar w:fldCharType="begin"/>
      </w:r>
      <w:r>
        <w:instrText xml:space="preserve"> ADDIN ZOTERO_ITEM CSL_CITATION {"citationID":"lG1Ipsip","properties":{"formattedCitation":"Norman Daniels, \\uc0\\u8220{}Reflective Equilibrium,\\uc0\\u8221{} in {\\i{}The Stanford Encyclopedia of Philosophy}, ed. Edward N. Zalta, Fall 2018, 2018, https://plato.stanford.edu/archives/fall2018/entries/reflective-equilibrium/.","plainCitation":"Norman Daniels, “Reflective Equilibrium,” in The Stanford Encyclopedia of Philosophy, ed. Edward N. Zalta, Fall 2018, 2018, https://plato.stanford.edu/archives/fall2018/entries/reflective-equilibrium/.","noteIndex":5},"citationItems":[{"id":2162,"uris":["http://zotero.org/users/1522585/items/LFGBEBIL"],"uri":["http://zotero.org/users/1522585/items/LFGBEBIL"],"itemData":{"id":2162,"type":"chapter","title":"Reflective Equilibrium","container-title":"The Stanford Encyclopedia of Philosophy","edition":"Fall 2018","source":"Stanford Encyclopedia of Philosophy","abstract":"Many of us, perhaps all of us, have examined our moral judgments abouta particular issue by looking for their coherence with our beliefsabout similar cases and our beliefs about a broader range of moral andfactual issues. In this everyday practice, we have sought“reflective equilibrium” among these various beliefs as away of clarifying for ourselves just what we ought to do. In addition,we may also have been persuading ourselves that our conclusions werejustifiable and ultimately acceptable to us by seeking coherence amongthem. Even though it is part of our everyday practice, is thisapproach to deliberating about what is right and finding justificationfor our views defensible?, Viewed most generally, a “reflective equilibrium” is theend-point of a deliberative process in which we reflect on and reviseour beliefs about an area of inquiry, moral or non-moral. The inquirymight be as specific as the moral question, “What is the rightthing to do in this case?” or the logical question, “Isthis the correct inference to make?” Alternatively, the inquirymight be much more general, asking which theory or account of justiceor right action we should accept, or which principles of inductivereasoning we should use. We can also refer to the process or methoditself as the “method of reflective equilibrium.”, The method of reflective equilibrium can be carried out by individualsacting separately or together. In the latter case, the method isdialogical and agreement among participants may or may not beaccompanied by a search for coherence. We shall be focused on themethod when it seeks coherence among beliefs, for an avowal ofagreement may well not include a real coherence of beliefs., In what follows, we first give an overview of the method of reflectiveequilibrium and comment briefly on its history. We then discuss inmore detail the evolution of the method and its role in the work ofJohn Rawls. Against that background, we then remark on some of thecontroversy surrounding the claim that coherence among our moral orour logical beliefs in reflective equilibrium counts as ajustification for them, including the challenge to including moralintuitions or facts about the world in such a justification. Finally,we discuss some implications the method has for work in ethics.","URL":"https://plato.stanford.edu/archives/fall2018/entries/reflective-equilibrium/","author":[{"family":"Daniels","given":"Norman"}],"editor":[{"family":"Zalta","given":"Edward N."}],"issued":{"date-parts":[["2018"]]},"accessed":{"date-parts":[["2019",6,10]]}}}],"schema":"https://github.com/citation-style-language/schema/raw/master/csl-citation.json"} </w:instrText>
      </w:r>
      <w:r>
        <w:fldChar w:fldCharType="separate"/>
      </w:r>
      <w:r w:rsidRPr="002316EE">
        <w:rPr>
          <w:rFonts w:ascii="Garamond" w:hAnsi="Garamond" w:cs="Times New Roman"/>
          <w:szCs w:val="24"/>
        </w:rPr>
        <w:t xml:space="preserve">Norman Daniels, “Reflective Equilibrium,” in </w:t>
      </w:r>
      <w:r w:rsidRPr="002316EE">
        <w:rPr>
          <w:rFonts w:ascii="Garamond" w:hAnsi="Garamond" w:cs="Times New Roman"/>
          <w:i/>
          <w:iCs/>
          <w:szCs w:val="24"/>
        </w:rPr>
        <w:t>The Stanford Encyclopedia of Philosophy</w:t>
      </w:r>
      <w:r w:rsidRPr="002316EE">
        <w:rPr>
          <w:rFonts w:ascii="Garamond" w:hAnsi="Garamond" w:cs="Times New Roman"/>
          <w:szCs w:val="24"/>
        </w:rPr>
        <w:t>, ed. Edward N. Zalta, Fall 2018, 2018, https://plato.stanford.edu/archives/fall2018/entries/reflective-equilibrium/.</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412A"/>
    <w:multiLevelType w:val="hybridMultilevel"/>
    <w:tmpl w:val="49A4783A"/>
    <w:lvl w:ilvl="0" w:tplc="4AE0F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B7EAF"/>
    <w:multiLevelType w:val="hybridMultilevel"/>
    <w:tmpl w:val="F0A21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448FC"/>
    <w:multiLevelType w:val="hybridMultilevel"/>
    <w:tmpl w:val="C8948CF8"/>
    <w:lvl w:ilvl="0" w:tplc="4AE0F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09321F"/>
    <w:multiLevelType w:val="hybridMultilevel"/>
    <w:tmpl w:val="23ACF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1F173C"/>
    <w:multiLevelType w:val="hybridMultilevel"/>
    <w:tmpl w:val="1E8EB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E4A95"/>
    <w:multiLevelType w:val="hybridMultilevel"/>
    <w:tmpl w:val="548E4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757CE7"/>
    <w:multiLevelType w:val="hybridMultilevel"/>
    <w:tmpl w:val="16C2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6E7344"/>
    <w:multiLevelType w:val="hybridMultilevel"/>
    <w:tmpl w:val="80F23B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54037E"/>
    <w:multiLevelType w:val="hybridMultilevel"/>
    <w:tmpl w:val="2CE2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0"/>
  </w:num>
  <w:num w:numId="5">
    <w:abstractNumId w:val="3"/>
  </w:num>
  <w:num w:numId="6">
    <w:abstractNumId w:val="6"/>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BB0"/>
    <w:rsid w:val="000A65CB"/>
    <w:rsid w:val="000D1E39"/>
    <w:rsid w:val="00120E66"/>
    <w:rsid w:val="001C781D"/>
    <w:rsid w:val="002316EE"/>
    <w:rsid w:val="00243AD3"/>
    <w:rsid w:val="0029316D"/>
    <w:rsid w:val="002B71A9"/>
    <w:rsid w:val="002C7580"/>
    <w:rsid w:val="00316067"/>
    <w:rsid w:val="00405FF7"/>
    <w:rsid w:val="004C70CB"/>
    <w:rsid w:val="005458B6"/>
    <w:rsid w:val="00585584"/>
    <w:rsid w:val="0058701C"/>
    <w:rsid w:val="00693B5C"/>
    <w:rsid w:val="00717BB0"/>
    <w:rsid w:val="007B1F55"/>
    <w:rsid w:val="00813A23"/>
    <w:rsid w:val="008921A3"/>
    <w:rsid w:val="009269D5"/>
    <w:rsid w:val="00980967"/>
    <w:rsid w:val="00983A3C"/>
    <w:rsid w:val="009B4014"/>
    <w:rsid w:val="009D48C5"/>
    <w:rsid w:val="00A34662"/>
    <w:rsid w:val="00A538B1"/>
    <w:rsid w:val="00AA3580"/>
    <w:rsid w:val="00AE245C"/>
    <w:rsid w:val="00B470EB"/>
    <w:rsid w:val="00B64D30"/>
    <w:rsid w:val="00B92077"/>
    <w:rsid w:val="00C51E6F"/>
    <w:rsid w:val="00DD7DC1"/>
    <w:rsid w:val="00E17032"/>
    <w:rsid w:val="00F22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85443"/>
  <w15:chartTrackingRefBased/>
  <w15:docId w15:val="{ED4BB788-BFEC-4C2C-BED1-F2E77880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A23"/>
    <w:pPr>
      <w:spacing w:before="60" w:after="60"/>
    </w:pPr>
  </w:style>
  <w:style w:type="paragraph" w:styleId="Heading1">
    <w:name w:val="heading 1"/>
    <w:basedOn w:val="Normal"/>
    <w:next w:val="Normal"/>
    <w:link w:val="Heading1Char"/>
    <w:uiPriority w:val="9"/>
    <w:qFormat/>
    <w:rsid w:val="007B1F5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B1F5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B1F5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B1F5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B1F5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B1F5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B1F5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B1F5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B1F5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F5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7B1F55"/>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7B1F55"/>
    <w:rPr>
      <w:caps/>
      <w:color w:val="1F4D78" w:themeColor="accent1" w:themeShade="7F"/>
      <w:spacing w:val="15"/>
    </w:rPr>
  </w:style>
  <w:style w:type="character" w:customStyle="1" w:styleId="Heading4Char">
    <w:name w:val="Heading 4 Char"/>
    <w:basedOn w:val="DefaultParagraphFont"/>
    <w:link w:val="Heading4"/>
    <w:uiPriority w:val="9"/>
    <w:semiHidden/>
    <w:rsid w:val="007B1F55"/>
    <w:rPr>
      <w:caps/>
      <w:color w:val="2E74B5" w:themeColor="accent1" w:themeShade="BF"/>
      <w:spacing w:val="10"/>
    </w:rPr>
  </w:style>
  <w:style w:type="character" w:customStyle="1" w:styleId="Heading5Char">
    <w:name w:val="Heading 5 Char"/>
    <w:basedOn w:val="DefaultParagraphFont"/>
    <w:link w:val="Heading5"/>
    <w:uiPriority w:val="9"/>
    <w:semiHidden/>
    <w:rsid w:val="007B1F55"/>
    <w:rPr>
      <w:caps/>
      <w:color w:val="2E74B5" w:themeColor="accent1" w:themeShade="BF"/>
      <w:spacing w:val="10"/>
    </w:rPr>
  </w:style>
  <w:style w:type="character" w:customStyle="1" w:styleId="Heading6Char">
    <w:name w:val="Heading 6 Char"/>
    <w:basedOn w:val="DefaultParagraphFont"/>
    <w:link w:val="Heading6"/>
    <w:uiPriority w:val="9"/>
    <w:semiHidden/>
    <w:rsid w:val="007B1F55"/>
    <w:rPr>
      <w:caps/>
      <w:color w:val="2E74B5" w:themeColor="accent1" w:themeShade="BF"/>
      <w:spacing w:val="10"/>
    </w:rPr>
  </w:style>
  <w:style w:type="character" w:customStyle="1" w:styleId="Heading7Char">
    <w:name w:val="Heading 7 Char"/>
    <w:basedOn w:val="DefaultParagraphFont"/>
    <w:link w:val="Heading7"/>
    <w:uiPriority w:val="9"/>
    <w:semiHidden/>
    <w:rsid w:val="007B1F55"/>
    <w:rPr>
      <w:caps/>
      <w:color w:val="2E74B5" w:themeColor="accent1" w:themeShade="BF"/>
      <w:spacing w:val="10"/>
    </w:rPr>
  </w:style>
  <w:style w:type="character" w:customStyle="1" w:styleId="Heading8Char">
    <w:name w:val="Heading 8 Char"/>
    <w:basedOn w:val="DefaultParagraphFont"/>
    <w:link w:val="Heading8"/>
    <w:uiPriority w:val="9"/>
    <w:semiHidden/>
    <w:rsid w:val="007B1F55"/>
    <w:rPr>
      <w:caps/>
      <w:spacing w:val="10"/>
      <w:sz w:val="18"/>
      <w:szCs w:val="18"/>
    </w:rPr>
  </w:style>
  <w:style w:type="character" w:customStyle="1" w:styleId="Heading9Char">
    <w:name w:val="Heading 9 Char"/>
    <w:basedOn w:val="DefaultParagraphFont"/>
    <w:link w:val="Heading9"/>
    <w:uiPriority w:val="9"/>
    <w:semiHidden/>
    <w:rsid w:val="007B1F55"/>
    <w:rPr>
      <w:i/>
      <w:iCs/>
      <w:caps/>
      <w:spacing w:val="10"/>
      <w:sz w:val="18"/>
      <w:szCs w:val="18"/>
    </w:rPr>
  </w:style>
  <w:style w:type="paragraph" w:styleId="Caption">
    <w:name w:val="caption"/>
    <w:basedOn w:val="Normal"/>
    <w:next w:val="Normal"/>
    <w:uiPriority w:val="35"/>
    <w:semiHidden/>
    <w:unhideWhenUsed/>
    <w:qFormat/>
    <w:rsid w:val="007B1F55"/>
    <w:rPr>
      <w:b/>
      <w:bCs/>
      <w:color w:val="2E74B5" w:themeColor="accent1" w:themeShade="BF"/>
      <w:sz w:val="16"/>
      <w:szCs w:val="16"/>
    </w:rPr>
  </w:style>
  <w:style w:type="paragraph" w:styleId="Title">
    <w:name w:val="Title"/>
    <w:basedOn w:val="Normal"/>
    <w:next w:val="Normal"/>
    <w:link w:val="TitleChar"/>
    <w:uiPriority w:val="10"/>
    <w:qFormat/>
    <w:rsid w:val="007B1F5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B1F55"/>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B1F5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B1F55"/>
    <w:rPr>
      <w:caps/>
      <w:color w:val="595959" w:themeColor="text1" w:themeTint="A6"/>
      <w:spacing w:val="10"/>
      <w:sz w:val="21"/>
      <w:szCs w:val="21"/>
    </w:rPr>
  </w:style>
  <w:style w:type="character" w:styleId="Strong">
    <w:name w:val="Strong"/>
    <w:uiPriority w:val="22"/>
    <w:qFormat/>
    <w:rsid w:val="007B1F55"/>
    <w:rPr>
      <w:b/>
      <w:bCs/>
    </w:rPr>
  </w:style>
  <w:style w:type="character" w:styleId="Emphasis">
    <w:name w:val="Emphasis"/>
    <w:uiPriority w:val="20"/>
    <w:qFormat/>
    <w:rsid w:val="007B1F55"/>
    <w:rPr>
      <w:caps/>
      <w:color w:val="1F4D78" w:themeColor="accent1" w:themeShade="7F"/>
      <w:spacing w:val="5"/>
    </w:rPr>
  </w:style>
  <w:style w:type="paragraph" w:styleId="NoSpacing">
    <w:name w:val="No Spacing"/>
    <w:uiPriority w:val="1"/>
    <w:qFormat/>
    <w:rsid w:val="007B1F55"/>
    <w:pPr>
      <w:spacing w:after="0" w:line="240" w:lineRule="auto"/>
    </w:pPr>
  </w:style>
  <w:style w:type="paragraph" w:styleId="Quote">
    <w:name w:val="Quote"/>
    <w:basedOn w:val="Normal"/>
    <w:next w:val="Normal"/>
    <w:link w:val="QuoteChar"/>
    <w:uiPriority w:val="29"/>
    <w:qFormat/>
    <w:rsid w:val="007B1F55"/>
    <w:rPr>
      <w:i/>
      <w:iCs/>
      <w:sz w:val="24"/>
      <w:szCs w:val="24"/>
    </w:rPr>
  </w:style>
  <w:style w:type="character" w:customStyle="1" w:styleId="QuoteChar">
    <w:name w:val="Quote Char"/>
    <w:basedOn w:val="DefaultParagraphFont"/>
    <w:link w:val="Quote"/>
    <w:uiPriority w:val="29"/>
    <w:rsid w:val="007B1F55"/>
    <w:rPr>
      <w:i/>
      <w:iCs/>
      <w:sz w:val="24"/>
      <w:szCs w:val="24"/>
    </w:rPr>
  </w:style>
  <w:style w:type="paragraph" w:styleId="IntenseQuote">
    <w:name w:val="Intense Quote"/>
    <w:basedOn w:val="Normal"/>
    <w:next w:val="Normal"/>
    <w:link w:val="IntenseQuoteChar"/>
    <w:uiPriority w:val="30"/>
    <w:qFormat/>
    <w:rsid w:val="007B1F5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B1F55"/>
    <w:rPr>
      <w:color w:val="5B9BD5" w:themeColor="accent1"/>
      <w:sz w:val="24"/>
      <w:szCs w:val="24"/>
    </w:rPr>
  </w:style>
  <w:style w:type="character" w:styleId="SubtleEmphasis">
    <w:name w:val="Subtle Emphasis"/>
    <w:uiPriority w:val="19"/>
    <w:qFormat/>
    <w:rsid w:val="007B1F55"/>
    <w:rPr>
      <w:i/>
      <w:iCs/>
      <w:color w:val="1F4D78" w:themeColor="accent1" w:themeShade="7F"/>
    </w:rPr>
  </w:style>
  <w:style w:type="character" w:styleId="IntenseEmphasis">
    <w:name w:val="Intense Emphasis"/>
    <w:uiPriority w:val="21"/>
    <w:qFormat/>
    <w:rsid w:val="007B1F55"/>
    <w:rPr>
      <w:b/>
      <w:bCs/>
      <w:caps/>
      <w:color w:val="1F4D78" w:themeColor="accent1" w:themeShade="7F"/>
      <w:spacing w:val="10"/>
    </w:rPr>
  </w:style>
  <w:style w:type="character" w:styleId="SubtleReference">
    <w:name w:val="Subtle Reference"/>
    <w:uiPriority w:val="31"/>
    <w:qFormat/>
    <w:rsid w:val="007B1F55"/>
    <w:rPr>
      <w:b/>
      <w:bCs/>
      <w:color w:val="5B9BD5" w:themeColor="accent1"/>
    </w:rPr>
  </w:style>
  <w:style w:type="character" w:styleId="IntenseReference">
    <w:name w:val="Intense Reference"/>
    <w:uiPriority w:val="32"/>
    <w:qFormat/>
    <w:rsid w:val="007B1F55"/>
    <w:rPr>
      <w:b/>
      <w:bCs/>
      <w:i/>
      <w:iCs/>
      <w:caps/>
      <w:color w:val="5B9BD5" w:themeColor="accent1"/>
    </w:rPr>
  </w:style>
  <w:style w:type="character" w:styleId="BookTitle">
    <w:name w:val="Book Title"/>
    <w:uiPriority w:val="33"/>
    <w:qFormat/>
    <w:rsid w:val="007B1F55"/>
    <w:rPr>
      <w:b/>
      <w:bCs/>
      <w:i/>
      <w:iCs/>
      <w:spacing w:val="0"/>
    </w:rPr>
  </w:style>
  <w:style w:type="paragraph" w:styleId="TOCHeading">
    <w:name w:val="TOC Heading"/>
    <w:basedOn w:val="Heading1"/>
    <w:next w:val="Normal"/>
    <w:uiPriority w:val="39"/>
    <w:semiHidden/>
    <w:unhideWhenUsed/>
    <w:qFormat/>
    <w:rsid w:val="007B1F55"/>
    <w:pPr>
      <w:outlineLvl w:val="9"/>
    </w:pPr>
  </w:style>
  <w:style w:type="paragraph" w:styleId="ListParagraph">
    <w:name w:val="List Paragraph"/>
    <w:basedOn w:val="Normal"/>
    <w:uiPriority w:val="34"/>
    <w:qFormat/>
    <w:rsid w:val="007B1F55"/>
    <w:pPr>
      <w:ind w:left="720"/>
      <w:contextualSpacing/>
    </w:pPr>
  </w:style>
  <w:style w:type="paragraph" w:styleId="BalloonText">
    <w:name w:val="Balloon Text"/>
    <w:basedOn w:val="Normal"/>
    <w:link w:val="BalloonTextChar"/>
    <w:uiPriority w:val="99"/>
    <w:semiHidden/>
    <w:unhideWhenUsed/>
    <w:rsid w:val="00983A3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A3C"/>
    <w:rPr>
      <w:rFonts w:ascii="Segoe UI" w:hAnsi="Segoe UI" w:cs="Segoe UI"/>
      <w:sz w:val="18"/>
      <w:szCs w:val="18"/>
    </w:rPr>
  </w:style>
  <w:style w:type="paragraph" w:styleId="FootnoteText">
    <w:name w:val="footnote text"/>
    <w:basedOn w:val="Normal"/>
    <w:link w:val="FootnoteTextChar"/>
    <w:uiPriority w:val="99"/>
    <w:semiHidden/>
    <w:unhideWhenUsed/>
    <w:rsid w:val="009B4014"/>
    <w:pPr>
      <w:spacing w:before="0" w:after="0" w:line="240" w:lineRule="auto"/>
    </w:pPr>
  </w:style>
  <w:style w:type="character" w:customStyle="1" w:styleId="FootnoteTextChar">
    <w:name w:val="Footnote Text Char"/>
    <w:basedOn w:val="DefaultParagraphFont"/>
    <w:link w:val="FootnoteText"/>
    <w:uiPriority w:val="99"/>
    <w:semiHidden/>
    <w:rsid w:val="009B4014"/>
  </w:style>
  <w:style w:type="character" w:styleId="FootnoteReference">
    <w:name w:val="footnote reference"/>
    <w:basedOn w:val="DefaultParagraphFont"/>
    <w:uiPriority w:val="99"/>
    <w:semiHidden/>
    <w:unhideWhenUsed/>
    <w:rsid w:val="009B40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7717">
      <w:bodyDiv w:val="1"/>
      <w:marLeft w:val="0"/>
      <w:marRight w:val="0"/>
      <w:marTop w:val="0"/>
      <w:marBottom w:val="0"/>
      <w:divBdr>
        <w:top w:val="none" w:sz="0" w:space="0" w:color="auto"/>
        <w:left w:val="none" w:sz="0" w:space="0" w:color="auto"/>
        <w:bottom w:val="none" w:sz="0" w:space="0" w:color="auto"/>
        <w:right w:val="none" w:sz="0" w:space="0" w:color="auto"/>
      </w:divBdr>
      <w:divsChild>
        <w:div w:id="569316383">
          <w:marLeft w:val="0"/>
          <w:marRight w:val="0"/>
          <w:marTop w:val="0"/>
          <w:marBottom w:val="0"/>
          <w:divBdr>
            <w:top w:val="none" w:sz="0" w:space="0" w:color="auto"/>
            <w:left w:val="none" w:sz="0" w:space="0" w:color="auto"/>
            <w:bottom w:val="none" w:sz="0" w:space="0" w:color="auto"/>
            <w:right w:val="none" w:sz="0" w:space="0" w:color="auto"/>
          </w:divBdr>
          <w:divsChild>
            <w:div w:id="12017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7D5BC-7BD4-4AB9-875F-29BA81FAA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3</Pages>
  <Words>1995</Words>
  <Characters>11377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Brendan Shea</cp:lastModifiedBy>
  <cp:revision>28</cp:revision>
  <cp:lastPrinted>2019-06-10T15:06:00Z</cp:lastPrinted>
  <dcterms:created xsi:type="dcterms:W3CDTF">2013-12-10T00:16:00Z</dcterms:created>
  <dcterms:modified xsi:type="dcterms:W3CDTF">2019-06-10T15:06:00Z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id="qrToPbM8"/&gt;&lt;style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