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t xml:space="preserve">research misconduct</w:t>
      </w:r>
      <w:r>
        <w:t xml:space="preserve">, the</w:t>
      </w:r>
      <w:r>
        <w:t xml:space="preserve"> </w:t>
      </w:r>
      <w:r>
        <w:t xml:space="preserve">replication crisis</w:t>
      </w:r>
      <w:r>
        <w:t xml:space="preserve">, and</w:t>
      </w:r>
      <w:r>
        <w:t xml:space="preserve"> </w:t>
      </w:r>
      <w:r>
        <w:t xml:space="preserve">subject protection</w:t>
      </w:r>
      <w:r>
        <w:t xml:space="preserve">. If a basic preclinical result is faked, every drug trial built on it enrolls human volunteers under false</w:t>
      </w:r>
      <w:r>
        <w:t xml:space="preserve"> </w:t>
      </w:r>
      <w: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BodyText"/>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BodyText"/>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The disagreement is about what counts as harm, what counts as evidence, and what a medical research enterprise owes the people who enroll in its trials. What follows is a connected exchange.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BodyText"/>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FirstParagraph"/>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t xml:space="preserve">accelerated approval</w:t>
      </w:r>
      <w:r>
        <w:t xml:space="preserve"> </w:t>
      </w:r>
      <w:r>
        <w:t xml:space="preserve">pathway. This pathway lets a drug reach patients based on a</w:t>
      </w:r>
      <w:r>
        <w:t xml:space="preserve"> </w:t>
      </w:r>
      <w: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FirstParagraph"/>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2026-05-21T18:48:11Z</dcterms:created>
  <dcterms:modified xsi:type="dcterms:W3CDTF">2026-05-21T18:48:11Z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“Blots on a field” — a bioethics case study</vt:lpwstr>
  </property>
  <property fmtid="{D5CDD505-2E9C-101B-9397-08002B2CF9AE}" pid="17" name="toc-title">
    <vt:lpwstr>Table of contents</vt:lpwstr>
  </property>
</Properties>
</file>