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The Lesné affair is interesting less for the misconduct itself than for the quality of the disagreement it produced. The disagreement is about what counts as harm, what counts as evidence, and what a medical research enterprise owes the people who enroll in its trials. What follows is a connected exchange. Each move answers the last.</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2026-05-28T13:26:23Z</dcterms:created>
  <dcterms:modified xsi:type="dcterms:W3CDTF">2026-05-28T13:26:23Z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