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rPr>
          <w:rStyle w:val="KeyTerm"/>
        </w:rPr>
        <w:t xml:space="preserve">conscientious refusal</w:t>
      </w:r>
      <w:r>
        <w:t xml:space="preserve"> </w:t>
      </w:r>
      <w:r>
        <w:t xml:space="preserve">and its mirror image,</w:t>
      </w:r>
      <w:r>
        <w:t xml:space="preserve"> </w:t>
      </w:r>
      <w:r>
        <w:rPr>
          <w:rStyle w:val="KeyTerm"/>
        </w:rPr>
        <w:t xml:space="preserve">conscientious provision</w:t>
      </w:r>
      <w:r>
        <w:t xml:space="preserve">. When a clinician’s medical and moral judgment conflicts with the law of the state in which she practices, what does professional</w:t>
      </w:r>
      <w:r>
        <w:t xml:space="preserve"> </w:t>
      </w:r>
      <w:r>
        <w:rPr>
          <w:rStyle w:val="KeyTerm"/>
        </w:rP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ContextBox"/>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ContextBox"/>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ContextBox"/>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rPr>
          <w:rStyle w:val="KeyTerm"/>
        </w:rP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What follows turns on the physician rather than the patient.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Here the question shifts from refusal to its mirror image, provision.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rPr>
          <w:rStyle w:val="KeyTerm"/>
        </w:rPr>
        <w:t xml:space="preserve">Personal morality</w:t>
      </w:r>
      <w:r>
        <w:t xml:space="preserve"> </w:t>
      </w:r>
      <w:r>
        <w:t xml:space="preserve">— the convictions one holds as a private individual.</w:t>
      </w:r>
    </w:p>
    <w:p>
      <w:pPr>
        <w:pStyle w:val="Compact"/>
        <w:numPr>
          <w:ilvl w:val="0"/>
          <w:numId w:val="1013"/>
        </w:numPr>
      </w:pPr>
      <w:r>
        <w:rPr>
          <w:rStyle w:val="KeyTerm"/>
        </w:rP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One case from outside the United States shows what is at stake.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posed the same demand Halappanavar’s physicians had faced in 2012: to wait until a patient was sick enough to qualify.</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2026-05-29T19:24:37Z</dcterms:created>
  <dcterms:modified xsi:type="dcterms:W3CDTF">2026-05-29T19:24:37Z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don’t want to wait until I’m bleeding” — a bioethics case study</vt:lpwstr>
  </property>
  <property fmtid="{D5CDD505-2E9C-101B-9397-08002B2CF9AE}" pid="18" name="tbl-cap-location">
    <vt:lpwstr>top</vt:lpwstr>
  </property>
  <property fmtid="{D5CDD505-2E9C-101B-9397-08002B2CF9AE}" pid="19" name="toc-title">
    <vt:lpwstr>Table of contents</vt:lpwstr>
  </property>
</Properties>
</file>