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t xml:space="preserve">bioethics</w:t>
      </w:r>
      <w:r>
        <w:t xml:space="preserve">. It produced the modern rules —</w:t>
      </w:r>
      <w:r>
        <w:t xml:space="preserve"> </w:t>
      </w:r>
      <w:r>
        <w:t xml:space="preserve">informed consent</w:t>
      </w:r>
      <w:r>
        <w:t xml:space="preserve">, the</w:t>
      </w:r>
      <w:r>
        <w:t xml:space="preserve"> </w:t>
      </w:r>
      <w: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BodyText"/>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FirstParagraph"/>
      </w:pPr>
      <w:r>
        <w:rPr>
          <w:b/>
          <w:bCs/>
        </w:rPr>
        <w:t xml:space="preserve">Informed consent, the IRB, and Belmont.</w:t>
      </w:r>
      <w:r>
        <w:t xml:space="preserve"> </w:t>
      </w:r>
      <w:r>
        <w:t xml:space="preserve">Informed consent</w:t>
      </w:r>
      <w:r>
        <w:t xml:space="preserve"> </w:t>
      </w:r>
      <w:r>
        <w:t xml:space="preserve">means a competent person is told the truth about a study’s risks, benefits, and purpose and freely agrees to take part. An</w:t>
      </w:r>
      <w:r>
        <w:t xml:space="preserve"> </w:t>
      </w:r>
      <w: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FirstParagraph"/>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t xml:space="preserve">justice</w:t>
      </w:r>
      <w:r>
        <w:t xml:space="preserve"> </w:t>
      </w:r>
      <w:r>
        <w:t xml:space="preserve">failure: a vulnerable group made to carry a burden for a science that would never have been done to the powerful.</w:t>
      </w:r>
    </w:p>
    <w:p>
      <w:pPr>
        <w:pStyle w:val="BodyText"/>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2026-05-27T14:32:51Z</dcterms:created>
  <dcterms:modified xsi:type="dcterms:W3CDTF">2026-05-27T14:32:51Z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Deception and the Long Half-Life of Distrust — a bioethics case study</vt:lpwstr>
  </property>
  <property fmtid="{D5CDD505-2E9C-101B-9397-08002B2CF9AE}" pid="17" name="toc-title">
    <vt:lpwstr>Table of contents</vt:lpwstr>
  </property>
</Properties>
</file>