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rPr>
          <w:rStyle w:val="KeyTerm"/>
        </w:rPr>
        <w:t xml:space="preserve">conscientious refusal</w:t>
      </w:r>
      <w:r>
        <w:t xml:space="preserve"> </w:t>
      </w:r>
      <w:r>
        <w:t xml:space="preserve">and its mirror image,</w:t>
      </w:r>
      <w:r>
        <w:t xml:space="preserve"> </w:t>
      </w:r>
      <w:r>
        <w:rPr>
          <w:rStyle w:val="KeyTerm"/>
        </w:rPr>
        <w:t xml:space="preserve">conscientious provision</w:t>
      </w:r>
      <w:r>
        <w:t xml:space="preserve">. When a clinician’s medical and moral judgment conflicts with the law of the state in which she practices, what does professional</w:t>
      </w:r>
      <w:r>
        <w:t xml:space="preserve"> </w:t>
      </w:r>
      <w:r>
        <w:rPr>
          <w:rStyle w:val="KeyTerm"/>
        </w:rP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This is a chromosomal condition in which a third copy of chromosome 18 produces severe developmental abnormalities. Over the next several weeks of ultrasounds and maternal-fetal-medicine consultations, the diagnosis was confirmed. The fetus had malformations of:</w:t>
      </w:r>
    </w:p>
    <w:p>
      <w:pPr>
        <w:pStyle w:val="Compact"/>
        <w:numPr>
          <w:ilvl w:val="0"/>
          <w:numId w:val="1002"/>
        </w:numPr>
      </w:pPr>
      <w:r>
        <w:t xml:space="preserve">The brain.</w:t>
      </w:r>
    </w:p>
    <w:p>
      <w:pPr>
        <w:pStyle w:val="Compact"/>
        <w:numPr>
          <w:ilvl w:val="0"/>
          <w:numId w:val="1002"/>
        </w:numPr>
      </w:pPr>
      <w:r>
        <w:t xml:space="preserve">The spine.</w:t>
      </w:r>
    </w:p>
    <w:p>
      <w:pPr>
        <w:pStyle w:val="Compact"/>
        <w:numPr>
          <w:ilvl w:val="0"/>
          <w:numId w:val="1002"/>
        </w:numPr>
      </w:pPr>
      <w:r>
        <w:t xml:space="preserve">The neural tube.</w:t>
      </w:r>
    </w:p>
    <w:p>
      <w:pPr>
        <w:pStyle w:val="Compact"/>
        <w:numPr>
          <w:ilvl w:val="0"/>
          <w:numId w:val="1002"/>
        </w:numPr>
      </w:pPr>
      <w:r>
        <w:t xml:space="preserve">The heart.</w:t>
      </w:r>
    </w:p>
    <w:p>
      <w:pPr>
        <w:pStyle w:val="Compact"/>
        <w:numPr>
          <w:ilvl w:val="0"/>
          <w:numId w:val="1002"/>
        </w:numPr>
      </w:pPr>
      <w:r>
        <w:t xml:space="preserve">The skull.</w:t>
      </w:r>
    </w:p>
    <w:p>
      <w:pPr>
        <w:pStyle w:val="Compact"/>
        <w:numPr>
          <w:ilvl w:val="0"/>
          <w:numId w:val="1002"/>
        </w:numPr>
      </w:pPr>
      <w:r>
        <w:t xml:space="preserve">The limbs.</w:t>
      </w:r>
    </w:p>
    <w:p>
      <w:pPr>
        <w:pStyle w:val="FirstParagraph"/>
      </w:pP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ContextBox"/>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w:t>
      </w:r>
    </w:p>
    <w:p>
      <w:pPr>
        <w:pStyle w:val="Compact"/>
        <w:numPr>
          <w:ilvl w:val="0"/>
          <w:numId w:val="1003"/>
        </w:numPr>
      </w:pPr>
      <w:r>
        <w:t xml:space="preserve">Uterine rupture.</w:t>
      </w:r>
    </w:p>
    <w:p>
      <w:pPr>
        <w:pStyle w:val="Compact"/>
        <w:numPr>
          <w:ilvl w:val="0"/>
          <w:numId w:val="1003"/>
        </w:numPr>
      </w:pPr>
      <w:r>
        <w:t xml:space="preserve">Hemorrhage.</w:t>
      </w:r>
    </w:p>
    <w:p>
      <w:pPr>
        <w:pStyle w:val="Compact"/>
        <w:numPr>
          <w:ilvl w:val="0"/>
          <w:numId w:val="1003"/>
        </w:numPr>
      </w:pPr>
      <w:r>
        <w:t xml:space="preserve">Hysterectomy — meaning she might never be able to bear another child.</w:t>
      </w:r>
    </w:p>
    <w:p>
      <w:pPr>
        <w:pStyle w:val="FirstParagraph"/>
      </w:pPr>
      <w:r>
        <w:t xml:space="preserve">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face severe penalties:</w:t>
      </w:r>
    </w:p>
    <w:p>
      <w:pPr>
        <w:pStyle w:val="Compact"/>
        <w:numPr>
          <w:ilvl w:val="0"/>
          <w:numId w:val="1004"/>
        </w:numPr>
      </w:pPr>
      <w:r>
        <w:t xml:space="preserve">Loss of her medical license.</w:t>
      </w:r>
    </w:p>
    <w:p>
      <w:pPr>
        <w:pStyle w:val="Compact"/>
        <w:numPr>
          <w:ilvl w:val="0"/>
          <w:numId w:val="1004"/>
        </w:numPr>
      </w:pPr>
      <w:r>
        <w:t xml:space="preserve">Fines of at least $100,000 per violation.</w:t>
      </w:r>
    </w:p>
    <w:p>
      <w:pPr>
        <w:pStyle w:val="Compact"/>
        <w:numPr>
          <w:ilvl w:val="0"/>
          <w:numId w:val="1004"/>
        </w:numPr>
      </w:pPr>
      <w:r>
        <w:t xml:space="preserve">Up to ninety-nine years in prison.</w:t>
      </w:r>
    </w:p>
    <w:p>
      <w:pPr>
        <w:pStyle w:val="ContextBox"/>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w:t>
      </w:r>
    </w:p>
    <w:p>
      <w:pPr>
        <w:pStyle w:val="Compact"/>
        <w:numPr>
          <w:ilvl w:val="0"/>
          <w:numId w:val="1005"/>
        </w:numPr>
      </w:pPr>
      <w:r>
        <w:t xml:space="preserve">Do not list qualifying diagnoses.</w:t>
      </w:r>
    </w:p>
    <w:p>
      <w:pPr>
        <w:pStyle w:val="Compact"/>
        <w:numPr>
          <w:ilvl w:val="0"/>
          <w:numId w:val="1005"/>
        </w:numPr>
      </w:pPr>
      <w:r>
        <w:t xml:space="preserve">Do not provide a pre-clearance mechanism.</w:t>
      </w:r>
    </w:p>
    <w:p>
      <w:pPr>
        <w:pStyle w:val="Compact"/>
        <w:numPr>
          <w:ilvl w:val="0"/>
          <w:numId w:val="1005"/>
        </w:numPr>
      </w:pPr>
      <w:r>
        <w:t xml:space="preserve">Require the physician to make the call alone.</w:t>
      </w:r>
    </w:p>
    <w:p>
      <w:pPr>
        <w:pStyle w:val="ContextBox"/>
      </w:pPr>
      <w:r>
        <w:t xml:space="preserve">A prosecutor may second-guess that call afterward.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rPr>
          <w:rStyle w:val="KeyTerm"/>
        </w:rP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made three points:</w:t>
      </w:r>
    </w:p>
    <w:p>
      <w:pPr>
        <w:pStyle w:val="Compact"/>
        <w:numPr>
          <w:ilvl w:val="0"/>
          <w:numId w:val="1006"/>
        </w:numPr>
      </w:pPr>
      <w:r>
        <w:t xml:space="preserve">The trial court’s order did not insulate anyone from civil liability under SB 8, which authorizes private lawsuits for at least $100,000 per abortion.</w:t>
      </w:r>
    </w:p>
    <w:p>
      <w:pPr>
        <w:pStyle w:val="Compact"/>
        <w:numPr>
          <w:ilvl w:val="0"/>
          <w:numId w:val="1006"/>
        </w:numPr>
      </w:pPr>
      <w:r>
        <w:t xml:space="preserve">The order also did not insulate anyone from criminal prosecution after the order was lifted, which Paxton was actively seeking.</w:t>
      </w:r>
    </w:p>
    <w:p>
      <w:pPr>
        <w:pStyle w:val="Compact"/>
        <w:numPr>
          <w:ilvl w:val="0"/>
          <w:numId w:val="1006"/>
        </w:numPr>
      </w:pPr>
      <w:r>
        <w:t xml:space="preserve">The hospitals should consider their own exposure.</w:t>
      </w:r>
    </w:p>
    <w:p>
      <w:pPr>
        <w:pStyle w:val="FirstParagraph"/>
      </w:pPr>
      <w:r>
        <w:t xml:space="preserve">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What follows turns on the physician rather than the patient. Damla Karsan had not been compelled to take Cox’s case. She could have referred Cox out of state — many Texas OB-GYNs did — and avoided the criminal exposure entirely. She chose instead to do three risky things:</w:t>
      </w:r>
    </w:p>
    <w:p>
      <w:pPr>
        <w:pStyle w:val="Compact"/>
        <w:numPr>
          <w:ilvl w:val="0"/>
          <w:numId w:val="1007"/>
        </w:numPr>
      </w:pPr>
      <w:r>
        <w:t xml:space="preserve">Put her name on the lawsuit.</w:t>
      </w:r>
    </w:p>
    <w:p>
      <w:pPr>
        <w:pStyle w:val="Compact"/>
        <w:numPr>
          <w:ilvl w:val="0"/>
          <w:numId w:val="1007"/>
        </w:numPr>
      </w:pPr>
      <w:r>
        <w:t xml:space="preserve">Swear under oath that the medical-exception standard was met.</w:t>
      </w:r>
    </w:p>
    <w:p>
      <w:pPr>
        <w:pStyle w:val="Compact"/>
        <w:numPr>
          <w:ilvl w:val="0"/>
          <w:numId w:val="1007"/>
        </w:numPr>
      </w:pPr>
      <w:r>
        <w:t xml:space="preserve">Publicly disagree with a state law she had to live under.</w:t>
      </w:r>
    </w:p>
    <w:p>
      <w:pPr>
        <w:pStyle w:val="FirstParagraph"/>
      </w:pPr>
      <w:r>
        <w:t xml:space="preserve">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Three examples:</w:t>
      </w:r>
    </w:p>
    <w:p>
      <w:pPr>
        <w:pStyle w:val="Compact"/>
        <w:numPr>
          <w:ilvl w:val="0"/>
          <w:numId w:val="1008"/>
        </w:numPr>
      </w:pPr>
      <w:r>
        <w:t xml:space="preserve">A Catholic pharmacist who would not dispense Plan B.</w:t>
      </w:r>
    </w:p>
    <w:p>
      <w:pPr>
        <w:pStyle w:val="Compact"/>
        <w:numPr>
          <w:ilvl w:val="0"/>
          <w:numId w:val="1008"/>
        </w:numPr>
      </w:pPr>
      <w:r>
        <w:t xml:space="preserve">An OB-GYN who would not perform elective abortions.</w:t>
      </w:r>
    </w:p>
    <w:p>
      <w:pPr>
        <w:pStyle w:val="Compact"/>
        <w:numPr>
          <w:ilvl w:val="0"/>
          <w:numId w:val="1008"/>
        </w:numPr>
      </w:pPr>
      <w:r>
        <w:t xml:space="preserve">A nurse who would not assist with physician-assisted dying.</w:t>
      </w:r>
    </w:p>
    <w:p>
      <w:pPr>
        <w:pStyle w:val="FirstParagraph"/>
      </w:pPr>
      <w:r>
        <w:t xml:space="preserve">The debate asked when, if ever, the law should protect such refusals. Karsan’s case raises a stranger version of the question: when, if ever, should the law protect</w:t>
      </w:r>
      <w:r>
        <w:t xml:space="preserve"> </w:t>
      </w:r>
      <w:r>
        <w:rPr>
          <w:i/>
          <w:iCs/>
        </w:rPr>
        <w:t xml:space="preserve">provision</w:t>
      </w:r>
      <w:r>
        <w:t xml:space="preserve">?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sharpest form by the bioethicist Mark Wicclair, holds that being asked to perform an act one believes to be deeply wrong is being asked to damage one’s own moral integrity.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9"/>
        </w:numPr>
      </w:pPr>
      <w:r>
        <w:t xml:space="preserve">Moral integrity — the consistency between a person’s deeply held moral commitments and her actions — is a basic component of human well-being.</w:t>
      </w:r>
    </w:p>
    <w:p>
      <w:pPr>
        <w:pStyle w:val="Compact"/>
        <w:numPr>
          <w:ilvl w:val="0"/>
          <w:numId w:val="1009"/>
        </w:numPr>
      </w:pPr>
      <w:r>
        <w:t xml:space="preserve">Compelling a clinician to perform an act she sincerely believes to be seriously wrong damages that integrity.</w:t>
      </w:r>
    </w:p>
    <w:p>
      <w:pPr>
        <w:pStyle w:val="Compact"/>
        <w:numPr>
          <w:ilvl w:val="0"/>
          <w:numId w:val="1009"/>
        </w:numPr>
      </w:pPr>
      <w:r>
        <w:t xml:space="preserve">The state and the profession should not damage a clinician’s integrity unless doing so is necessary to prevent serious harm to others.</w:t>
      </w:r>
    </w:p>
    <w:p>
      <w:pPr>
        <w:pStyle w:val="Compact"/>
        <w:numPr>
          <w:ilvl w:val="0"/>
          <w:numId w:val="1009"/>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breaks down at the point of voluntariness. Soldiers are drafted. Physicians are licensed. Medicine is a profession one enters voluntarily. The entry deal goes like this: a clinician accepts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10"/>
        </w:numPr>
      </w:pPr>
      <w:r>
        <w:t xml:space="preserve">Medicine is a public profession whose members voluntarily accept fiduciary obligations to patients in exchange for state-granted privileges.</w:t>
      </w:r>
    </w:p>
    <w:p>
      <w:pPr>
        <w:pStyle w:val="Compact"/>
        <w:numPr>
          <w:ilvl w:val="0"/>
          <w:numId w:val="1010"/>
        </w:numPr>
      </w:pPr>
      <w:r>
        <w:t xml:space="preserve">Those obligations include the duty to provide legal, professionally indicated care that the patient requests, regardless of the clinician’s personal moral views.</w:t>
      </w:r>
    </w:p>
    <w:p>
      <w:pPr>
        <w:pStyle w:val="Compact"/>
        <w:numPr>
          <w:ilvl w:val="0"/>
          <w:numId w:val="1010"/>
        </w:numPr>
      </w:pPr>
      <w:r>
        <w:t xml:space="preserve">Clinicians who cannot in conscience meet those obligations should leave the relevant specialty, not import their personal morality into the patient encounter.</w:t>
      </w:r>
    </w:p>
    <w:p>
      <w:pPr>
        <w:pStyle w:val="Compact"/>
        <w:numPr>
          <w:ilvl w:val="0"/>
          <w:numId w:val="1010"/>
        </w:numPr>
      </w:pPr>
      <w:r>
        <w:t xml:space="preserve">Therefore, conscience clauses that exempt clinicians from providing legal, indicated care are illegitimate.</w:t>
      </w:r>
    </w:p>
    <w:p>
      <w:pPr>
        <w:pStyle w:val="FirstParagraph"/>
      </w:pPr>
      <w:r>
        <w:t xml:space="preserve">The soft spot here is the third premise. It works smoothly for a young medical student choosing a specialty. It works clumsily for a thirty-year veteran of obstetrics whose state legislature changes the rules underneath her. The argument also threatens to swallow more than its authors may have intended. The same logic would seem to compel participation in:</w:t>
      </w:r>
    </w:p>
    <w:p>
      <w:pPr>
        <w:pStyle w:val="Compact"/>
        <w:numPr>
          <w:ilvl w:val="0"/>
          <w:numId w:val="1011"/>
        </w:numPr>
      </w:pPr>
      <w:r>
        <w:t xml:space="preserve">MAID (medical aid in dying).</w:t>
      </w:r>
    </w:p>
    <w:p>
      <w:pPr>
        <w:pStyle w:val="Compact"/>
        <w:numPr>
          <w:ilvl w:val="0"/>
          <w:numId w:val="1011"/>
        </w:numPr>
      </w:pPr>
      <w:r>
        <w:t xml:space="preserve">Capital punishment medical clearances.</w:t>
      </w:r>
    </w:p>
    <w:p>
      <w:pPr>
        <w:pStyle w:val="Compact"/>
        <w:numPr>
          <w:ilvl w:val="0"/>
          <w:numId w:val="1011"/>
        </w:numPr>
      </w:pPr>
      <w:r>
        <w:t xml:space="preserve">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meet three conditions:</w:t>
      </w:r>
    </w:p>
    <w:p>
      <w:pPr>
        <w:pStyle w:val="Compact"/>
        <w:numPr>
          <w:ilvl w:val="0"/>
          <w:numId w:val="1012"/>
        </w:numPr>
      </w:pPr>
      <w:r>
        <w:t xml:space="preserve">Disclose the refusal in advance.</w:t>
      </w:r>
    </w:p>
    <w:p>
      <w:pPr>
        <w:pStyle w:val="Compact"/>
        <w:numPr>
          <w:ilvl w:val="0"/>
          <w:numId w:val="1012"/>
        </w:numPr>
      </w:pPr>
      <w:r>
        <w:t xml:space="preserve">Refer the patient to another qualified provider.</w:t>
      </w:r>
    </w:p>
    <w:p>
      <w:pPr>
        <w:pStyle w:val="Compact"/>
        <w:numPr>
          <w:ilvl w:val="0"/>
          <w:numId w:val="1012"/>
        </w:numPr>
      </w:pPr>
      <w:r>
        <w:t xml:space="preserve">Not abandon the patient mid-care.</w:t>
      </w:r>
    </w:p>
    <w:p>
      <w:pPr>
        <w:pStyle w:val="FirstParagraph"/>
      </w:pPr>
      <w:r>
        <w:t xml:space="preserve">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Here the question shifts from refusal to its mirror image, provision. The classical defenders of conscientious refusal — Wicclair, Brock, even the dissenters Stahl and Emanuel — were arguing about a different setting. In their setting,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w:t>
      </w:r>
      <w:r>
        <w:t xml:space="preserve">The contested care is now criminalized.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sharpened version of the inversion comes from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the classical literature mostly elides:</w:t>
      </w:r>
    </w:p>
    <w:p>
      <w:pPr>
        <w:pStyle w:val="Compact"/>
        <w:numPr>
          <w:ilvl w:val="0"/>
          <w:numId w:val="1013"/>
        </w:numPr>
      </w:pPr>
      <w:r>
        <w:rPr>
          <w:rStyle w:val="KeyTerm"/>
        </w:rPr>
        <w:t xml:space="preserve">Personal morality</w:t>
      </w:r>
      <w:r>
        <w:t xml:space="preserve"> </w:t>
      </w:r>
      <w:r>
        <w:t xml:space="preserve">— the convictions one holds as a private individual.</w:t>
      </w:r>
    </w:p>
    <w:p>
      <w:pPr>
        <w:pStyle w:val="Compact"/>
        <w:numPr>
          <w:ilvl w:val="0"/>
          <w:numId w:val="1013"/>
        </w:numPr>
      </w:pPr>
      <w:r>
        <w:rPr>
          <w:rStyle w:val="KeyTerm"/>
        </w:rPr>
        <w:t xml:space="preserve">Role morality</w:t>
      </w:r>
      <w:r>
        <w:t xml:space="preserve"> </w:t>
      </w:r>
      <w:r>
        <w:t xml:space="preserve">— the ethical obligations one takes on by accepting a professional role.</w:t>
      </w:r>
    </w:p>
    <w:p>
      <w:pPr>
        <w:pStyle w:val="FirstParagraph"/>
      </w:pPr>
      <w:r>
        <w:t xml:space="preserve">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should protect clinicians who provide medically indicated care that their state has criminalized. That provision is what the role itself requires. In their words: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14"/>
        </w:numPr>
      </w:pPr>
      <w:r>
        <w:t xml:space="preserve">Personal morality grounds conscientious refusal: a clinician may decline care she sincerely believes is wrong, on the same integrity grounds the refusal tradition recognizes.</w:t>
      </w:r>
    </w:p>
    <w:p>
      <w:pPr>
        <w:pStyle w:val="Compact"/>
        <w:numPr>
          <w:ilvl w:val="0"/>
          <w:numId w:val="101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1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1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w:t>
      </w:r>
      <w:r>
        <w:t xml:space="preserve"> </w:t>
      </w:r>
      <w:r>
        <w:rPr>
          <w:i/>
          <w:iCs/>
        </w:rPr>
        <w:t xml:space="preserve">leave me out of it</w:t>
      </w:r>
      <w:r>
        <w:t xml:space="preserve"> </w:t>
      </w:r>
      <w:r>
        <w:t xml:space="preserve">— that can be honored without anyone breaking the law. Provision is a positive claim that, where care is illegal,</w:t>
      </w:r>
      <w:r>
        <w:t xml:space="preserve"> </w:t>
      </w:r>
      <w:r>
        <w:rPr>
          <w:i/>
          <w:iCs/>
        </w:rPr>
        <w:t xml:space="preserve">requires</w:t>
      </w:r>
      <w:r>
        <w:t xml:space="preserve"> </w:t>
      </w:r>
      <w:r>
        <w:t xml:space="preserve">law-breaking. That is too much to ask the profession to underwrite. Ryan and her co-authors anticipate the objection. They argue that the asymmetry is itself an artifact of the prior legal regime, not a deep feature of conscience. What the profession underwrites is not law-breaking as such. It is the role’s commitment to patient welfare when the law fails it.</w:t>
      </w:r>
    </w:p>
    <w:p>
      <w:pPr>
        <w:pStyle w:val="BodyText"/>
      </w:pPr>
      <w:r>
        <w:t xml:space="preserve">One case from outside the United States shows what is at stake.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posed the same demand Halappanavar’s physicians had faced in 2012: to wait until a patient was sick enough to qualify.</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 Three current pressure points show the shape of the problem:</w:t>
      </w:r>
    </w:p>
    <w:p>
      <w:pPr>
        <w:pStyle w:val="Compact"/>
        <w:numPr>
          <w:ilvl w:val="0"/>
          <w:numId w:val="1015"/>
        </w:numPr>
      </w:pPr>
      <w:r>
        <w:rPr>
          <w:b/>
          <w:bCs/>
        </w:rPr>
        <w:t xml:space="preserve">Catholic hospital systems.</w:t>
      </w:r>
      <w:r>
        <w:t xml:space="preserve"> </w:t>
      </w: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w:t>
      </w:r>
    </w:p>
    <w:p>
      <w:pPr>
        <w:pStyle w:val="Compact"/>
        <w:numPr>
          <w:ilvl w:val="0"/>
          <w:numId w:val="1015"/>
        </w:numPr>
      </w:pPr>
      <w:r>
        <w:rPr>
          <w:b/>
          <w:bCs/>
        </w:rPr>
        <w:t xml:space="preserve">State shield laws.</w:t>
      </w:r>
      <w:r>
        <w:t xml:space="preserve"> </w:t>
      </w:r>
      <w:r>
        <w:t xml:space="preserve">A growing patchwork of state shield laws — New York, Massachusetts, California, and others — now protect clinicians who mail mifepristone into states that ban it. This poses the constitutional question of whether a state may reach across its borders to prosecute a doctor whose conduct is legal where she stands.</w:t>
      </w:r>
    </w:p>
    <w:p>
      <w:pPr>
        <w:pStyle w:val="Compact"/>
        <w:numPr>
          <w:ilvl w:val="0"/>
          <w:numId w:val="1015"/>
        </w:numPr>
      </w:pPr>
      <w:r>
        <w:rPr>
          <w:b/>
          <w:bCs/>
        </w:rPr>
        <w:t xml:space="preserve">EMTALA conflicts.</w:t>
      </w:r>
      <w:r>
        <w:t xml:space="preserve"> </w:t>
      </w:r>
      <w:r>
        <w:t xml:space="preserve">The federal Emergency Medical Treatment and Labor Act,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FirstParagraph"/>
      </w:pPr>
      <w:r>
        <w:t xml:space="preserve">These are not problems Wicclair or Brock anticipated. Their framework was built for the individual clinician with a private moral commitment. It is now being asked to mediate between four very different parties:</w:t>
      </w:r>
    </w:p>
    <w:p>
      <w:pPr>
        <w:pStyle w:val="Compact"/>
        <w:numPr>
          <w:ilvl w:val="0"/>
          <w:numId w:val="1016"/>
        </w:numPr>
      </w:pPr>
      <w:r>
        <w:t xml:space="preserve">State legislatures.</w:t>
      </w:r>
    </w:p>
    <w:p>
      <w:pPr>
        <w:pStyle w:val="Compact"/>
        <w:numPr>
          <w:ilvl w:val="0"/>
          <w:numId w:val="1016"/>
        </w:numPr>
      </w:pPr>
      <w:r>
        <w:t xml:space="preserve">Federal statutes.</w:t>
      </w:r>
    </w:p>
    <w:p>
      <w:pPr>
        <w:pStyle w:val="Compact"/>
        <w:numPr>
          <w:ilvl w:val="0"/>
          <w:numId w:val="1016"/>
        </w:numPr>
      </w:pPr>
      <w:r>
        <w:t xml:space="preserve">Religious health systems.</w:t>
      </w:r>
    </w:p>
    <w:p>
      <w:pPr>
        <w:pStyle w:val="Compact"/>
        <w:numPr>
          <w:ilvl w:val="0"/>
          <w:numId w:val="1016"/>
        </w:numPr>
      </w:pPr>
      <w:r>
        <w:t xml:space="preserve">Clinicians whose oaths now conflict with their licenses.</w:t>
      </w:r>
    </w:p>
    <w:p>
      <w:pPr>
        <w:pStyle w:val="FirstParagraph"/>
      </w:pPr>
      <w:r>
        <w:t xml:space="preserve">The sharpened open question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17"/>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17"/>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17"/>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17"/>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17"/>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18"/>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18"/>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18"/>
        </w:numPr>
      </w:pPr>
      <w:r>
        <w:rPr>
          <w:i/>
          <w:iCs/>
        </w:rPr>
        <w:t xml:space="preserve">In re State of Texas</w:t>
      </w:r>
      <w:r>
        <w:t xml:space="preserve">, 23-0994 (Texas Supreme Court, Dec. 11, 2023) — the per curiam ruling, brief and worth reading in the original.</w:t>
      </w:r>
    </w:p>
    <w:p>
      <w:pPr>
        <w:pStyle w:val="Compact"/>
        <w:numPr>
          <w:ilvl w:val="0"/>
          <w:numId w:val="1018"/>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18"/>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2026-05-31T20:53:49Z</dcterms:created>
  <dcterms:modified xsi:type="dcterms:W3CDTF">2026-05-31T20:53:49Z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don’t want to wait until I’m bleeding” — a bioethics case study</vt:lpwstr>
  </property>
  <property fmtid="{D5CDD505-2E9C-101B-9397-08002B2CF9AE}" pid="18" name="tbl-cap-location">
    <vt:lpwstr>top</vt:lpwstr>
  </property>
  <property fmtid="{D5CDD505-2E9C-101B-9397-08002B2CF9AE}" pid="19" name="toc-title">
    <vt:lpwstr>Table of contents</vt:lpwstr>
  </property>
</Properties>
</file>