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withholding penicillin and deceiving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t xml:space="preserve">bioethics</w:t>
      </w:r>
      <w:r>
        <w:t xml:space="preserve">. It produced the modern rules —</w:t>
      </w:r>
      <w:r>
        <w:t xml:space="preserve"> </w:t>
      </w:r>
      <w:r>
        <w:t xml:space="preserve">informed consent</w:t>
      </w:r>
      <w:r>
        <w:t xml:space="preserve">, the</w:t>
      </w:r>
      <w:r>
        <w:t xml:space="preserve"> </w:t>
      </w:r>
      <w: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and, to its designers, scientifically attractive: find people with untreated</w:t>
      </w:r>
      <w:r>
        <w:t xml:space="preserve"> </w:t>
      </w:r>
      <w:r>
        <w:t xml:space="preserve">syphilis</w:t>
      </w:r>
      <w:r>
        <w:t xml:space="preserve"> </w:t>
      </w:r>
      <w:r>
        <w:t xml:space="preserve">and observe what the disease does to a human body if nothing is done, all the way to autopsy.</w:t>
      </w:r>
    </w:p>
    <w:p>
      <w:pPr>
        <w:pStyle w:val="BodyText"/>
      </w:pPr>
      <w:r>
        <w:t xml:space="preserve">They chose Macon County, Alabama, where most residents were Black, most were poor, and almost none had access to a doctor. That was the point. The men recruited — about 600, of whom 399 had latent syphilis and 201 served as healthy controls — were sharecroppers working white-owned land in a system of debt peonage. 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BodyText"/>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performed painful diagnostic spinal taps and described them to the men as a special free</w:t>
      </w:r>
      <w:r>
        <w:t xml:space="preserve"> </w:t>
      </w:r>
      <w:r>
        <w:t xml:space="preserve">“spinal shot”</w:t>
      </w:r>
      <w:r>
        <w:t xml:space="preserve"> </w:t>
      </w:r>
      <w:r>
        <w:t xml:space="preserve">— a</w:t>
      </w:r>
      <w:r>
        <w:t xml:space="preserve"> </w:t>
      </w:r>
      <w:r>
        <w:rPr>
          <w:i/>
          <w:iCs/>
        </w:rPr>
        <w:t xml:space="preserve">treatment</w:t>
      </w:r>
      <w:r>
        <w:t xml:space="preserve">. One PHS officer wrote to colleagues that the men might refuse the procedure if they understood it was only diagnostic, so its real purpose should</w:t>
      </w:r>
      <w:r>
        <w:t xml:space="preserve"> </w:t>
      </w:r>
      <w:r>
        <w:t xml:space="preserve">“be kept from them as far as possible.”</w:t>
      </w:r>
      <w:r>
        <w:t xml:space="preserve"> </w:t>
      </w:r>
      <w:r>
        <w:t xml:space="preserve">Because the study’s final data point was the autopsy, the PHS offered burial insurance — a powerful inducement in a poor rural community where a proper funeral mattered — so that families would surrender the bodies. One investigator wrote that the team had</w:t>
      </w:r>
      <w:r>
        <w:t xml:space="preserve"> </w:t>
      </w:r>
      <w:r>
        <w:t xml:space="preserve">“no further interest in these patients until they die.”</w:t>
      </w:r>
      <w:r>
        <w:t xml:space="preserve"> </w:t>
      </w: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 dozens of the men had died of syphilis or its complications, dozens of their wives had been infected, and children had been born with congenital syphilis. In 1973, after the story broke, a class-action suit produced an out-of-court settlement, and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 the 1974 National Research Act,</w:t>
      </w:r>
      <w:r>
        <w:t xml:space="preserve"> </w:t>
      </w:r>
      <w:r>
        <w:t xml:space="preserve">institutional review boards</w:t>
      </w:r>
      <w:r>
        <w:t xml:space="preserve"> </w:t>
      </w:r>
      <w:r>
        <w:t xml:space="preserve">(IRBs) to approve and monitor studies, federal informed-consent regulations, and, in 1979, the Belmont Report’s three principles — respect for persons, beneficence, and justice.</w:t>
      </w:r>
    </w:p>
    <w:p>
      <w:pPr>
        <w:pStyle w:val="BodyText"/>
      </w:pPr>
      <w:r>
        <w:rPr>
          <w:b/>
          <w:bCs/>
        </w:rPr>
        <w:t xml:space="preserve">Informed consent, the IRB, and Belmont.</w:t>
      </w:r>
      <w:r>
        <w:t xml:space="preserve"> </w:t>
      </w:r>
      <w:r>
        <w:t xml:space="preserve">Informed consent</w:t>
      </w:r>
      <w:r>
        <w:t xml:space="preserve"> </w:t>
      </w:r>
      <w:r>
        <w:t xml:space="preserve">means a competent person is told the truth about a study’s risks, benefits, and purpose and freely agrees to take part. An</w:t>
      </w:r>
      <w:r>
        <w:t xml:space="preserve"> </w:t>
      </w:r>
      <w: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 respect persons as autonomous agents, do not harm and maximize benefit, and distribute research’s burdens and benefits fairly. 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2"/>
        </w:numPr>
      </w:pPr>
      <w:r>
        <w:t xml:space="preserve">If a system lacks independent review and consent regulations, then research abuses like Tuskegee are inevitable.</w:t>
      </w:r>
    </w:p>
    <w:p>
      <w:pPr>
        <w:pStyle w:val="Compact"/>
        <w:numPr>
          <w:ilvl w:val="0"/>
          <w:numId w:val="1002"/>
        </w:numPr>
      </w:pPr>
      <w:r>
        <w:t xml:space="preserve">Modern research systems now have independent review and consent regulations.</w:t>
      </w:r>
    </w:p>
    <w:p>
      <w:pPr>
        <w:pStyle w:val="Compact"/>
        <w:numPr>
          <w:ilvl w:val="0"/>
          <w:numId w:val="1002"/>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written in 1947 after Nazi doctors were tried for experimenting on prisoners,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The principal investigator, John Mahoney, was arguably the most honored American physician-scientist of his day — he won a Lasker Award the year the experiments began. The proposal was reviewed and funded by an NIH study section staffed by physicians from the country’s leading medical schools. The Surgeon General was kept informed and enthusiastic; he is recorded remarking that</w:t>
      </w:r>
      <w:r>
        <w:t xml:space="preserve"> </w:t>
      </w:r>
      <w:r>
        <w:t xml:space="preserve">“we couldn’t do such an experiment in this country.”</w:t>
      </w:r>
      <w:r>
        <w:t xml:space="preserve"> </w:t>
      </w: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3"/>
        </w:numPr>
      </w:pPr>
      <w:r>
        <w:t xml:space="preserve">Rules only prevent abuse if researchers believe the rules apply to them and their subjects.</w:t>
      </w:r>
    </w:p>
    <w:p>
      <w:pPr>
        <w:pStyle w:val="Compact"/>
        <w:numPr>
          <w:ilvl w:val="0"/>
          <w:numId w:val="1003"/>
        </w:numPr>
      </w:pPr>
      <w:r>
        <w:t xml:space="preserve">The PHS researchers did not believe existing ethical rules applied to their subjects.</w:t>
      </w:r>
    </w:p>
    <w:p>
      <w:pPr>
        <w:pStyle w:val="Compact"/>
        <w:numPr>
          <w:ilvl w:val="0"/>
          <w:numId w:val="1003"/>
        </w:numPr>
      </w:pPr>
      <w:r>
        <w:t xml:space="preserve">Therefore, the failure was a failure of institutional and individual conscience, not a lack of rules.</w:t>
      </w:r>
    </w:p>
    <w:p>
      <w:pPr>
        <w:pStyle w:val="FirstParagraph"/>
      </w:pPr>
      <w:r>
        <w:t xml:space="preserve">That individual was Peter Buxtun. Hired by the PHS in 1965 as a venereal-disease interviewer in San Francisco, the Czech-born social worker — whose family had fled to America in 1937 —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He filed formal objections in 1966 and again in 1968. The CDC summoned him to Atlanta and a senior official berated him. A blue-ribbon panel was convened in 1969; its dominant voice argued,</w:t>
      </w:r>
      <w:r>
        <w:t xml:space="preserve"> </w:t>
      </w:r>
      <w:r>
        <w:t xml:space="preserve">“You will never have another study like this; take advantage of it,”</w:t>
      </w:r>
      <w:r>
        <w:t xml:space="preserve"> </w:t>
      </w:r>
      <w:r>
        <w:t xml:space="preserve">and only one member, Gene Stollerman, urged that the men be treated as patients rather than as a data set. The panel voted to continue. Buxtun asked the CDC, in writing,</w:t>
      </w:r>
      <w:r>
        <w:t xml:space="preserve"> </w:t>
      </w:r>
      <w:r>
        <w:t xml:space="preserve">“What is the ethical thing to do?”</w:t>
      </w:r>
      <w:r>
        <w:t xml:space="preserve"> </w:t>
      </w:r>
      <w:r>
        <w:t xml:space="preserve">He received no answer. 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04"/>
        </w:numPr>
      </w:pPr>
      <w:r>
        <w:t xml:space="preserve">Relying on individual conscience only works if whistleblowers can safely come forward.</w:t>
      </w:r>
    </w:p>
    <w:p>
      <w:pPr>
        <w:pStyle w:val="Compact"/>
        <w:numPr>
          <w:ilvl w:val="0"/>
          <w:numId w:val="1004"/>
        </w:numPr>
      </w:pPr>
      <w:r>
        <w:t xml:space="preserve">Under current institutional designs, whistleblowers who come forward are routinely punished.</w:t>
      </w:r>
    </w:p>
    <w:p>
      <w:pPr>
        <w:pStyle w:val="Compact"/>
        <w:numPr>
          <w:ilvl w:val="0"/>
          <w:numId w:val="1004"/>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when the authority figure was made less imposing, when the victim was made more present, and — most powerfully — when</w:t>
      </w:r>
      <w:r>
        <w:t xml:space="preserve"> </w:t>
      </w:r>
      <w:r>
        <w:rPr>
          <w:i/>
          <w:iCs/>
        </w:rPr>
        <w:t xml:space="preserve">even one</w:t>
      </w:r>
      <w:r>
        <w:t xml:space="preserve"> </w:t>
      </w:r>
      <w:r>
        <w:t xml:space="preserve">other person in the room dissented. The design implication is concrete: deflate the prestige of the lead researcher, make subjects visible rather than abstract, protect real (not cosmetic) channels for objection, and make it possible for objectors to find each other. 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t xml:space="preserve">justice</w:t>
      </w:r>
      <w:r>
        <w:t xml:space="preserve"> </w:t>
      </w:r>
      <w:r>
        <w:t xml:space="preserve">failure: a vulnerable group made to carry a burden for a science that would never have been done to the powerful.</w:t>
      </w:r>
    </w:p>
    <w:p>
      <w:pPr>
        <w:pStyle w:val="BodyText"/>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05"/>
        </w:numPr>
      </w:pPr>
      <w:r>
        <w:t xml:space="preserve">In Tuskegee, subjects were selected specifically because their poverty and race made them unable to refuse or complain.</w:t>
      </w:r>
    </w:p>
    <w:p>
      <w:pPr>
        <w:pStyle w:val="Compact"/>
        <w:numPr>
          <w:ilvl w:val="0"/>
          <w:numId w:val="1005"/>
        </w:numPr>
      </w:pPr>
      <w:r>
        <w:t xml:space="preserve">Selecting subjects because of their vulnerability is a form of exploitation that violates the principle of justice.</w:t>
      </w:r>
    </w:p>
    <w:p>
      <w:pPr>
        <w:pStyle w:val="Compact"/>
        <w:numPr>
          <w:ilvl w:val="0"/>
          <w:numId w:val="1005"/>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the institutionalized, the incarcerated, the cognitively impaired, and the poor — people under exactly Kipnis’s pressures — which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 Marcella Alsan and Marianne Wanamaker found that disclosure of the study was followed by reduced medical contact among older Black men and worse health outcomes,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and of casting Black patients as irrationally haunted rather than accurately observant. (Reverby also notes a precise irony: the Tuskegee men were not distrustful refusers —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partly because it answered a question many Black patients were not asking. A review of equity strategies found that the interventions that raised uptake were structural and relational rather than rhetorical: vaccine sites placed inside trusted Black churches and barbershops, and 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 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 it arguably concedes the critique’s premise (trust follows present conditions, not historical correction)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06"/>
        </w:numPr>
      </w:pPr>
      <w:r>
        <w:t xml:space="preserve">If historical events like Tuskegee are the primary cause of medical distrust, then distrust should be solved by historical education and apology.</w:t>
      </w:r>
    </w:p>
    <w:p>
      <w:pPr>
        <w:pStyle w:val="Compact"/>
        <w:numPr>
          <w:ilvl w:val="0"/>
          <w:numId w:val="1006"/>
        </w:numPr>
      </w:pPr>
      <w:r>
        <w:t xml:space="preserve">Medical distrust is primarily caused by ongoing, present-day systemic medical racism and disparities.</w:t>
      </w:r>
    </w:p>
    <w:p>
      <w:pPr>
        <w:pStyle w:val="Compact"/>
        <w:numPr>
          <w:ilvl w:val="0"/>
          <w:numId w:val="1006"/>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07"/>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07"/>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07"/>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07"/>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07"/>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08"/>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08"/>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08"/>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08"/>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08"/>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2026-05-21T15:36:42Z</dcterms:created>
  <dcterms:modified xsi:type="dcterms:W3CDTF">2026-05-21T15:36:42Z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Deception and the Long Half-Life of Distrust — a bioethics case study</vt:lpwstr>
  </property>
  <property fmtid="{D5CDD505-2E9C-101B-9397-08002B2CF9AE}" pid="17" name="toc-title">
    <vt:lpwstr>Table of contents</vt:lpwstr>
  </property>
</Properties>
</file>