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ultimately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t xml:space="preserve">conscientious refusal</w:t>
      </w:r>
      <w:r>
        <w:t xml:space="preserve"> </w:t>
      </w:r>
      <w:r>
        <w:t xml:space="preserve">and its mirror image,</w:t>
      </w:r>
      <w:r>
        <w:t xml:space="preserve"> </w:t>
      </w:r>
      <w:r>
        <w:t xml:space="preserve">conscientious provision</w:t>
      </w:r>
      <w:r>
        <w:t xml:space="preserve">: when a clinician’s medical and moral judgment conflicts with the law of the state in which she practices, what does professional</w:t>
      </w:r>
      <w:r>
        <w:t xml:space="preserve"> </w:t>
      </w:r>
      <w: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 a chromosomal condition in which a third copy of chromosome 18 produces severe developmental abnormalities. Over the next several weeks of additional ultrasounds and maternal-fetal-medicine consultations, the diagnosis was confirmed. The fetus had malformations of the brain, the spine, the neural tube, the heart, the skull, and the limbs.</w:t>
      </w:r>
      <w:r>
        <w:t xml:space="preserve"> </w:t>
      </w: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BodyText"/>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 of uterine rupture, hemorrhage, and hysterectomy — meaning she might never be able to bear another child. 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lose her license, face fines of at least $100,000 per violation, and serve up to ninety-nine years in prison.</w:t>
      </w:r>
    </w:p>
    <w:p>
      <w:pPr>
        <w:pStyle w:val="BodyText"/>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 do not list qualifying diagnoses. They do not provide a pre-clearance mechanism. The physician must make the call; a prosecutor may second-guess it afterward, and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warned that the trial court’s order did not insulate anyone from civil liability under SB 8 (which authorizes private lawsuits for at least $100,000 per abortion) or from criminal prosecution after the order was lifted, which Paxton was actively seeking. He asked the hospitals to consider their own exposure. 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The figure who interests us in what follows is not the patient but the physician. Damla Karsan had not been compelled to take Cox’s case. She could have referred Cox out of state — many Texas OB-GYNs did — and avoided the criminal exposure entirely. She chose instead to put her name on the lawsuit, to swear under oath that the medical-exception standard was met, and to publicly disagree with a state law she had to live under. 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a Catholic pharmacist who would not dispense Plan B, an OB-GYN who would not perform elective abortions, a nurse who would not assist with physician-assisted dying. The debate asked when, if ever, the law should protect such refusals. Karsan’s case raises a stranger version of the question — when, if ever, the law should protect</w:t>
      </w:r>
      <w:r>
        <w:t xml:space="preserve"> </w:t>
      </w:r>
      <w:r>
        <w:rPr>
          <w:i/>
          <w:iCs/>
        </w:rPr>
        <w:t xml:space="preserve">provision</w:t>
      </w:r>
      <w:r>
        <w:t xml:space="preserve"> </w:t>
      </w:r>
      <w:r>
        <w:t xml:space="preserve">— and finds that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 and that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2"/>
        </w:numPr>
      </w:pPr>
      <w:r>
        <w:t xml:space="preserve">Moral integrity — the consistency between a person’s deeply held moral commitments and her actions — is a basic component of human well-being.</w:t>
      </w:r>
    </w:p>
    <w:p>
      <w:pPr>
        <w:pStyle w:val="Compact"/>
        <w:numPr>
          <w:ilvl w:val="0"/>
          <w:numId w:val="1002"/>
        </w:numPr>
      </w:pPr>
      <w:r>
        <w:t xml:space="preserve">Compelling a clinician to perform an act she sincerely believes to be seriously wrong damages that integrity.</w:t>
      </w:r>
    </w:p>
    <w:p>
      <w:pPr>
        <w:pStyle w:val="Compact"/>
        <w:numPr>
          <w:ilvl w:val="0"/>
          <w:numId w:val="1002"/>
        </w:numPr>
      </w:pPr>
      <w:r>
        <w:t xml:space="preserve">The state and the profession should not damage a clinician’s integrity unless doing so is necessary to prevent serious harm to others.</w:t>
      </w:r>
    </w:p>
    <w:p>
      <w:pPr>
        <w:pStyle w:val="Compact"/>
        <w:numPr>
          <w:ilvl w:val="0"/>
          <w:numId w:val="1002"/>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which underlies much of the conscience-clause tradition, breaks down at the point of voluntariness. Soldiers are drafted; physicians are licensed. Medicine is a profession one enters voluntarily, by accepting a set of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03"/>
        </w:numPr>
      </w:pPr>
      <w:r>
        <w:t xml:space="preserve">Medicine is a public profession whose members voluntarily accept fiduciary obligations to patients in exchange for state-granted privileges.</w:t>
      </w:r>
    </w:p>
    <w:p>
      <w:pPr>
        <w:pStyle w:val="Compact"/>
        <w:numPr>
          <w:ilvl w:val="0"/>
          <w:numId w:val="1003"/>
        </w:numPr>
      </w:pPr>
      <w:r>
        <w:t xml:space="preserve">Those obligations include the duty to provide legal, professionally indicated care that the patient requests, regardless of the clinician’s personal moral views.</w:t>
      </w:r>
    </w:p>
    <w:p>
      <w:pPr>
        <w:pStyle w:val="Compact"/>
        <w:numPr>
          <w:ilvl w:val="0"/>
          <w:numId w:val="1003"/>
        </w:numPr>
      </w:pPr>
      <w:r>
        <w:t xml:space="preserve">Clinicians who cannot in conscience meet those obligations should leave the relevant specialty, not import their personal morality into the patient encounter.</w:t>
      </w:r>
    </w:p>
    <w:p>
      <w:pPr>
        <w:pStyle w:val="Compact"/>
        <w:numPr>
          <w:ilvl w:val="0"/>
          <w:numId w:val="1003"/>
        </w:numPr>
      </w:pPr>
      <w:r>
        <w:t xml:space="preserve">Therefore, conscience clauses that exempt clinicians from providing legal, indicated care are illegitimate.</w:t>
      </w:r>
    </w:p>
    <w:p>
      <w:pPr>
        <w:pStyle w:val="FirstParagraph"/>
      </w:pPr>
      <w:r>
        <w:t xml:space="preserve">The soft spot here is the third premise, which works smoothly for a young medical student choosing a specialty and clumsily for a thirty-year veteran of obstetrics whose state legislature changes the rules underneath her. The argument also threatens to swallow a great deal more than its authors may have intended: the same logic would seem to compel participation in MAID, in capital punishment medical clearances, and in 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(a) disclose the refusal in advance, (b) refer the patient to another qualified provider, and (c) not abandon the patient mid-care. 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This is where the case stops being about refusal and starts being about its mirror. The philosophers who wrote the foundational defenses of conscientious refusal — Wicclair, Brock, even the dissenters Stahl and Emanuel — were arguing about a setting in which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the contested care is now criminalized, and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is given by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that the classical conscience-clause literature mostly elides: between</w:t>
      </w:r>
      <w:r>
        <w:t xml:space="preserve"> </w:t>
      </w:r>
      <w:r>
        <w:t xml:space="preserve">personal morality</w:t>
      </w:r>
      <w:r>
        <w:t xml:space="preserve"> </w:t>
      </w:r>
      <w:r>
        <w:t xml:space="preserve">— the convictions one holds as a private individual — and</w:t>
      </w:r>
      <w:r>
        <w:t xml:space="preserve"> </w:t>
      </w:r>
      <w:r>
        <w:t xml:space="preserve">role morality</w:t>
      </w:r>
      <w:r>
        <w:t xml:space="preserve">, the ethical obligations one takes on by accepting a professional role. 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they propose, should affirmatively protect clinicians who provide medically indicated care that their state has criminalized, because that provision is what the role itself requires.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04"/>
        </w:numPr>
      </w:pPr>
      <w:r>
        <w:t xml:space="preserve">Personal morality grounds conscientious refusal: a clinician may decline care she sincerely believes is wrong, on the same integrity grounds the refusal tradition recognizes.</w:t>
      </w:r>
    </w:p>
    <w:p>
      <w:pPr>
        <w:pStyle w:val="Compact"/>
        <w:numPr>
          <w:ilvl w:val="0"/>
          <w:numId w:val="100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0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0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 leave me out of it — that can be honored without anyone breaking the law; provision is a positive claim that, where care is illegal,</w:t>
      </w:r>
      <w:r>
        <w:t xml:space="preserve"> </w:t>
      </w:r>
      <w:r>
        <w:rPr>
          <w:i/>
          <w:iCs/>
        </w:rPr>
        <w:t xml:space="preserve">requires</w:t>
      </w:r>
      <w:r>
        <w:t xml:space="preserve"> </w:t>
      </w:r>
      <w:r>
        <w:t xml:space="preserve">law-breaking, and that is too much to ask the profession to underwrite. Ryan and her co-authors anticipate the objection: they argue that the asymmetry is itself an artifact of the prior legal regime, not a deep feature of conscience, and that what the profession underwrites is not law-breaking as such but the role’s commitment to patient welfare when the law fails it.</w:t>
      </w:r>
    </w:p>
    <w:p>
      <w:pPr>
        <w:pStyle w:val="BodyText"/>
      </w:pPr>
      <w:r>
        <w:t xml:space="preserve">The case that haunts this move is not American.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asked of her what Halappanavar’s physicians had been asked of in 2012 — to wait until a patient was sick enough.</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w:t>
      </w:r>
    </w:p>
    <w:p>
      <w:pPr>
        <w:pStyle w:val="BodyText"/>
      </w:pP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 A growing patchwork of state</w:t>
      </w:r>
      <w:r>
        <w:t xml:space="preserve"> </w:t>
      </w:r>
      <w:r>
        <w:rPr>
          <w:b/>
          <w:bCs/>
        </w:rPr>
        <w:t xml:space="preserve">shield laws</w:t>
      </w:r>
      <w:r>
        <w:t xml:space="preserve"> </w:t>
      </w:r>
      <w:r>
        <w:t xml:space="preserve">— New York, Massachusetts, California, and others — now protect clinicians who mail mifepristone into states that ban it, posing the constitutional question of whether a state may reach across its borders to prosecute a doctor whose conduct is legal where she stands. The federal Emergency Medical Treatment and Labor Act (EMTALA),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BodyText"/>
      </w:pPr>
      <w:r>
        <w:t xml:space="preserve">These are not problems Wicclair or Brock anticipated. The framework they built for the individual clinician with a private moral commitment is being asked to do work it was not designed for — to mediate between state legislatures, federal statutes, religious health systems, and clinicians whose oaths now conflict with their licenses. 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05"/>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05"/>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05"/>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05"/>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05"/>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06"/>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06"/>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06"/>
        </w:numPr>
      </w:pPr>
      <w:r>
        <w:rPr>
          <w:i/>
          <w:iCs/>
        </w:rPr>
        <w:t xml:space="preserve">In re State of Texas</w:t>
      </w:r>
      <w:r>
        <w:t xml:space="preserve">, 23-0994 (Texas Supreme Court, Dec. 11, 2023) — the per curiam ruling, brief and worth reading in the original.</w:t>
      </w:r>
    </w:p>
    <w:p>
      <w:pPr>
        <w:pStyle w:val="Compact"/>
        <w:numPr>
          <w:ilvl w:val="0"/>
          <w:numId w:val="1006"/>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06"/>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2026-05-21T15:36:58Z</dcterms:created>
  <dcterms:modified xsi:type="dcterms:W3CDTF">2026-05-21T15:36:58Z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“I don’t want to wait until I’m bleeding” — a bioethics case study</vt:lpwstr>
  </property>
  <property fmtid="{D5CDD505-2E9C-101B-9397-08002B2CF9AE}" pid="17" name="toc-title">
    <vt:lpwstr>Table of contents</vt:lpwstr>
  </property>
</Properties>
</file>