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35.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3:</w:t>
      </w:r>
      <w:r>
        <w:t xml:space="preserve"> </w:t>
      </w:r>
      <w:r>
        <w:t xml:space="preserve">Freedom</w:t>
      </w:r>
      <w:r>
        <w:t xml:space="preserve"> </w:t>
      </w:r>
      <w:r>
        <w:t xml:space="preserve">of</w:t>
      </w:r>
      <w:r>
        <w:t xml:space="preserve"> </w:t>
      </w:r>
      <w:r>
        <w:t xml:space="preserve">Speech</w:t>
      </w:r>
      <w:r>
        <w:t xml:space="preserve"> </w:t>
      </w:r>
      <w:r>
        <w:t xml:space="preserve">in</w:t>
      </w:r>
      <w:r>
        <w:t xml:space="preserve"> </w:t>
      </w:r>
      <w:r>
        <w:t xml:space="preserve">the</w:t>
      </w:r>
      <w:r>
        <w:t xml:space="preserve"> </w:t>
      </w:r>
      <w:r>
        <w:t xml:space="preserve">Digital</w:t>
      </w:r>
      <w:r>
        <w:t xml:space="preserve"> </w:t>
      </w:r>
      <w:r>
        <w:t xml:space="preserve">Age</w:t>
      </w:r>
      <w:r>
        <w:t xml:space="preserve"> </w:t>
      </w:r>
      <w:r>
        <w:t xml:space="preserve">|</w:t>
      </w:r>
      <w:r>
        <w:t xml:space="preserve"> </w:t>
      </w:r>
      <w:r>
        <w:t xml:space="preserve">Computing</w:t>
      </w:r>
      <w:r>
        <w:t xml:space="preserve"> </w:t>
      </w:r>
      <w:r>
        <w:t xml:space="preserve">&amp;</w:t>
      </w:r>
      <w:r>
        <w:t xml:space="preserve"> </w:t>
      </w:r>
      <w:r>
        <w:t xml:space="preserve">AI</w:t>
      </w:r>
      <w:r>
        <w:t xml:space="preserve"> </w:t>
      </w:r>
      <w:r>
        <w:t xml:space="preserve">Ethics</w:t>
      </w:r>
    </w:p>
    <w:p>
      <w:pPr>
        <w:pStyle w:val="Author"/>
      </w:pPr>
      <w:r>
        <w:t xml:space="preserve">Brendan</w:t>
      </w:r>
      <w:r>
        <w:t xml:space="preserve"> </w:t>
      </w:r>
      <w:r>
        <w:t xml:space="preserve">Shea,</w:t>
      </w:r>
      <w:r>
        <w:t xml:space="preserve"> </w:t>
      </w:r>
      <w:r>
        <w:t xml:space="preserve">PhD</w:t>
      </w:r>
    </w:p>
    <w:p>
      <w:pPr>
        <w:pStyle w:val="ChapterEyebrow"/>
      </w:pPr>
      <w:r>
        <w:t xml:space="preserve">Chapter 3</w:t>
      </w:r>
    </w:p>
    <w:bookmarkStart w:id="20" w:name="freedom-of-speech-in-the-digital-age"/>
    <w:p>
      <w:pPr>
        <w:pStyle w:val="Heading1"/>
      </w:pPr>
      <w:r>
        <w:t xml:space="preserve">Freedom of Speech in the Digital Age</w:t>
      </w:r>
    </w:p>
    <w:p>
      <w:pPr>
        <w:pStyle w:val="ChapterSubtitle"/>
      </w:pPr>
      <w:r>
        <w:t xml:space="preserve">Mill, Social Media, and the Limits of Expression</w:t>
      </w:r>
    </w:p>
    <w:bookmarkEnd w:id="20"/>
    <w:bookmarkStart w:id="22" w:name="central-questions"/>
    <w:bookmarkStart w:id="21" w:name="cq-heading"/>
    <w:p>
      <w:pPr>
        <w:pStyle w:val="Heading2"/>
      </w:pPr>
      <w:r>
        <w:t xml:space="preserve">Central Questions</w:t>
      </w:r>
    </w:p>
    <w:p>
      <w:pPr>
        <w:numPr>
          <w:ilvl w:val="0"/>
          <w:numId w:val="1001"/>
        </w:numPr>
        <w:pStyle w:val="Compact"/>
      </w:pPr>
      <w:r>
        <w:t xml:space="preserve">Why does speech deserve special protection — and what are the strongest arguments for and against free expression?</w:t>
      </w:r>
    </w:p>
    <w:p>
      <w:pPr>
        <w:numPr>
          <w:ilvl w:val="0"/>
          <w:numId w:val="1001"/>
        </w:numPr>
        <w:pStyle w:val="Compact"/>
      </w:pPr>
      <w:r>
        <w:t xml:space="preserve">Is Mill's</w:t>
      </w:r>
      <w:r>
        <w:t xml:space="preserve"> </w:t>
      </w:r>
      <w:r>
        <w:rPr>
          <w:iCs/>
          <w:i/>
        </w:rPr>
        <w:t xml:space="preserve">harm principle</w:t>
      </w:r>
      <w:r>
        <w:t xml:space="preserve"> </w:t>
      </w:r>
      <w:r>
        <w:t xml:space="preserve">a satisfactory test for where free speech should end?</w:t>
      </w:r>
    </w:p>
    <w:p>
      <w:pPr>
        <w:numPr>
          <w:ilvl w:val="0"/>
          <w:numId w:val="1001"/>
        </w:numPr>
        <w:pStyle w:val="Compact"/>
      </w:pPr>
      <w:r>
        <w:t xml:space="preserve">Does social media constitute a "marketplace of ideas," or does it systematically distort truth-seeking?</w:t>
      </w:r>
    </w:p>
    <w:p>
      <w:pPr>
        <w:numPr>
          <w:ilvl w:val="0"/>
          <w:numId w:val="1001"/>
        </w:numPr>
        <w:pStyle w:val="Compact"/>
      </w:pPr>
      <w:r>
        <w:t xml:space="preserve">When, if ever, should governments, corporations, or algorithms restrict speech?</w:t>
      </w:r>
    </w:p>
    <w:p>
      <w:pPr>
        <w:numPr>
          <w:ilvl w:val="0"/>
          <w:numId w:val="1001"/>
        </w:numPr>
        <w:pStyle w:val="Compact"/>
      </w:pPr>
      <w:r>
        <w:t xml:space="preserve">How should AI-generated speech be treated within a free expression framework?</w:t>
      </w:r>
    </w:p>
    <w:bookmarkEnd w:id="21"/>
    <w:bookmarkEnd w:id="22"/>
    <w:bookmarkStart w:id="25" w:name="intro"/>
    <w:bookmarkStart w:id="24" w:name="intro-heading"/>
    <w:p>
      <w:pPr>
        <w:pStyle w:val="Heading2"/>
      </w:pPr>
      <w:r>
        <w:t xml:space="preserve">Introduction: Why Free Speech Matters</w:t>
      </w:r>
    </w:p>
    <w:p>
      <w:pPr>
        <w:pStyle w:val="FirstParagraph"/>
      </w:pPr>
      <w:r>
        <w:t xml:space="preserve">Few topics sit closer to the center of democratic life than freedom of speech. The right to express opinions — even unpopular, offensive, or factually contested ones — is enshrined in the First Amendment to the U.S. Constitution, in Article 19 of the Universal Declaration of Human Rights, and in the constitutions of liberal democracies worldwide. Yet every year brings fresh controversies: Should social media platforms remove misinformation about elections or vaccines? Should universities ban speakers whose views some students find hateful? Should an AI system refuse to answer certain questions? Beneath these specific debates lie deeper philosophical questions that resist easy answers.</w:t>
      </w:r>
    </w:p>
    <w:p>
      <w:pPr>
        <w:pStyle w:val="BodyText"/>
      </w:pPr>
      <w:r>
        <w:t xml:space="preserve">In this chapter we examine those deeper questions through the lens of the philosopher who provided the most influential liberal defense of free expression: John Stuart Mill</w:t>
      </w:r>
      <w:r>
        <w:t xml:space="preserve"> </w:t>
      </w:r>
      <w:r>
        <w:t xml:space="preserve">(Mill, 1859)</w:t>
      </w:r>
      <w:r>
        <w:t xml:space="preserve">. Writing in Victorian England in 1859, Mill offered arguments for free speech that remain at the center of contemporary debates — even though the world he inhabited had no radio, no television, no internet, and certainly no artificial intelligence. Our task is to understand Mill's framework on its own terms, appreciate its genuine strengths, and then ask honestly whether it is adequate for the challenges posed by algorithmic social media platforms and AI-generated content.</w:t>
      </w:r>
    </w:p>
    <w:p>
      <w:pPr>
        <w:pStyle w:val="BodyText"/>
      </w:pPr>
      <w:r>
        <w:t xml:space="preserve">The chapter connects to both of the preceding lectures. Chapter 1 traced five major information revolutions and showed that each one — from writing to print to broadcast to digital — triggered new contests over who controls the flow of ideas. The printing press enabled both the Protestant Reformation and vicious waves of censorship; broadcast television created Walter Cronkite's era of shared factual consensus and then fractured into partisan silos after the collapse of the Fairness Doctrine. Chapter 2 introduced virtue ethics and asked what digital habits are doing to our intellectual and moral character. The free speech debate intersects with both themes: if online speech practices can shape character (as virtue ethicists argue), does Mill's framework need a virtue dimension? Should we ask not just whether speech harms others but what it does to speakers and audiences over time?</w:t>
      </w:r>
    </w:p>
    <w:p>
      <w:pPr>
        <w:pStyle w:val="BlockQuote"/>
      </w:pPr>
      <w:r>
        <w:t xml:space="preserve">If all mankind minus one, were of one opinion, and only one person were of the contrary opinion, mankind would be no more justified in silencing that one person, than he, if he had the power, would be justified in silencing mankind.</w:t>
      </w:r>
    </w:p>
    <w:p>
      <w:pPr>
        <w:pStyle w:val="BlockQuote"/>
      </w:pPr>
      <w:r>
        <w:t xml:space="preserve">John Stuart Mill,</w:t>
      </w:r>
      <w:r>
        <w:t xml:space="preserve"> </w:t>
      </w:r>
      <w:r>
        <w:rPr>
          <w:iCs/>
          <w:i/>
        </w:rPr>
        <w:t xml:space="preserve">On Liberty</w:t>
      </w:r>
      <w:r>
        <w:t xml:space="preserve"> </w:t>
      </w:r>
      <w:r>
        <w:t xml:space="preserve">(1859)</w:t>
      </w:r>
    </w:p>
    <w:bookmarkStart w:id="23" w:name="what-is-liberalism"/>
    <w:p>
      <w:pPr>
        <w:pStyle w:val="Heading3"/>
      </w:pPr>
      <w:r>
        <w:t xml:space="preserve">What Is Liberalism?</w:t>
      </w:r>
    </w:p>
    <w:p>
      <w:pPr>
        <w:pStyle w:val="FirstParagraph"/>
      </w:pPr>
      <w:r>
        <w:t xml:space="preserve">Mill's defense of free speech belongs to the tradition of</w:t>
      </w:r>
      <w:r>
        <w:t xml:space="preserve"> </w:t>
      </w:r>
      <w:r>
        <w:rPr>
          <w:bCs/>
          <w:b/>
        </w:rPr>
        <w:t xml:space="preserve">political liberalism</w:t>
      </w:r>
      <w:r>
        <w:t xml:space="preserve"> </w:t>
      </w:r>
      <w:r>
        <w:t xml:space="preserve">— a broad family of political philosophies committed to individual rights, the rule of law, tolerance, and democratic governance. Liberalism is not a single doctrine; it encompasses a spectrum from the libertarian right (which sees government overreach as the primary threat to freedom) to the progressive or social-liberal left (which worries about corporate power and economic inequality as equally real constraints on real liberty). Both wings share a core commitment: freedom is the default, and any restriction on individual liberty requires justification.</w:t>
      </w:r>
    </w:p>
    <w:p>
      <w:pPr>
        <w:pStyle w:val="BodyText"/>
      </w:pPr>
      <w:r>
        <w:t xml:space="preserve">It is important not to confuse the philosophical tradition of liberalism with American partisan labels. Mill himself was radical for his era — he supported women's suffrage decades before it became law, advocated for workers' cooperatives, and worried deeply about what he called "social tyranny," the crushing pressure of majority opinion on individual thought. His liberalism was not simply pro-market; it was pro-human-flourishing. Understanding this context matters because it clarifies what Mill was actually defending: not the right of the powerful to say whatever they like without consequence, but the right of every person — especially dissenters and minorities — to participate in public discourse without being silenced.</w:t>
      </w:r>
    </w:p>
    <w:p>
      <w:pPr>
        <w:pStyle w:val="TableCaption"/>
      </w:pPr>
      <w:r>
        <w:t xml:space="preserve">Table 3.1 — Two Strands of Liberalism</w:t>
      </w:r>
    </w:p>
    <w:tbl>
      <w:tblPr>
        <w:tblStyle w:val="Table"/>
        <w:tblW w:type="auto" w:w="0"/>
        <w:tblLook w:firstRow="1" w:lastRow="0" w:firstColumn="0" w:lastColumn="0" w:noHBand="0" w:noVBand="0" w:val="0020"/>
        <w:jc w:val="start"/>
        <w:tblCaption w:val="Table 3.1 — Two Strands of Liberalism"/>
      </w:tblPr>
      <w:tblGrid>
        <w:gridCol w:w="2640"/>
        <w:gridCol w:w="2640"/>
        <w:gridCol w:w="2640"/>
      </w:tblGrid>
      <w:tr>
        <w:trPr>
          <w:tblHeader w:val="true"/>
        </w:trPr>
        <w:tc>
          <w:tcPr/>
          <w:p>
            <w:pPr>
              <w:pStyle w:val="Compact"/>
            </w:pPr>
          </w:p>
        </w:tc>
        <w:tc>
          <w:tcPr/>
          <w:p>
            <w:pPr>
              <w:pStyle w:val="Compact"/>
              <w:jc w:val="left"/>
            </w:pPr>
            <w:r>
              <w:t xml:space="preserve">Left-Liberalism</w:t>
            </w:r>
          </w:p>
        </w:tc>
        <w:tc>
          <w:tcPr/>
          <w:p>
            <w:pPr>
              <w:pStyle w:val="Compact"/>
              <w:jc w:val="left"/>
            </w:pPr>
            <w:r>
              <w:t xml:space="preserve">Libertarianism</w:t>
            </w:r>
          </w:p>
        </w:tc>
      </w:tr>
      <w:tr>
        <w:tc>
          <w:tcPr/>
          <w:p>
            <w:pPr>
              <w:pStyle w:val="Compact"/>
              <w:jc w:val="left"/>
            </w:pPr>
            <w:r>
              <w:rPr>
                <w:bCs/>
                <w:b/>
              </w:rPr>
              <w:t xml:space="preserve">Main threat to freedom</w:t>
            </w:r>
          </w:p>
        </w:tc>
        <w:tc>
          <w:tcPr/>
          <w:p>
            <w:pPr>
              <w:pStyle w:val="Compact"/>
              <w:jc w:val="left"/>
            </w:pPr>
            <w:r>
              <w:t xml:space="preserve">Corporate power, monopolies, economic inequality</w:t>
            </w:r>
          </w:p>
        </w:tc>
        <w:tc>
          <w:tcPr/>
          <w:p>
            <w:pPr>
              <w:pStyle w:val="Compact"/>
              <w:jc w:val="left"/>
            </w:pPr>
            <w:r>
              <w:t xml:space="preserve">Government overreach</w:t>
            </w:r>
          </w:p>
        </w:tc>
      </w:tr>
      <w:tr>
        <w:tc>
          <w:tcPr/>
          <w:p>
            <w:pPr>
              <w:pStyle w:val="Compact"/>
              <w:jc w:val="left"/>
            </w:pPr>
            <w:r>
              <w:rPr>
                <w:bCs/>
                <w:b/>
              </w:rPr>
              <w:t xml:space="preserve">Role of state</w:t>
            </w:r>
          </w:p>
        </w:tc>
        <w:tc>
          <w:tcPr/>
          <w:p>
            <w:pPr>
              <w:pStyle w:val="Compact"/>
              <w:jc w:val="left"/>
            </w:pPr>
            <w:r>
              <w:t xml:space="preserve">Enable real freedom via regulation and safety nets</w:t>
            </w:r>
          </w:p>
        </w:tc>
        <w:tc>
          <w:tcPr/>
          <w:p>
            <w:pPr>
              <w:pStyle w:val="Compact"/>
              <w:jc w:val="left"/>
            </w:pPr>
            <w:r>
              <w:t xml:space="preserve">Minimal; let markets solve problems</w:t>
            </w:r>
          </w:p>
        </w:tc>
      </w:tr>
      <w:tr>
        <w:tc>
          <w:tcPr/>
          <w:p>
            <w:pPr>
              <w:pStyle w:val="Compact"/>
              <w:jc w:val="left"/>
            </w:pPr>
            <w:r>
              <w:rPr>
                <w:bCs/>
                <w:b/>
              </w:rPr>
              <w:t xml:space="preserve">On free speech</w:t>
            </w:r>
          </w:p>
        </w:tc>
        <w:tc>
          <w:tcPr/>
          <w:p>
            <w:pPr>
              <w:pStyle w:val="Compact"/>
              <w:jc w:val="left"/>
            </w:pPr>
            <w:r>
              <w:t xml:space="preserve">May restrict speech that silences marginalized groups</w:t>
            </w:r>
          </w:p>
        </w:tc>
        <w:tc>
          <w:tcPr/>
          <w:p>
            <w:pPr>
              <w:pStyle w:val="Compact"/>
              <w:jc w:val="left"/>
            </w:pPr>
            <w:r>
              <w:t xml:space="preserve">Near-absolute speech protection</w:t>
            </w:r>
          </w:p>
        </w:tc>
      </w:tr>
      <w:tr>
        <w:tc>
          <w:tcPr/>
          <w:p>
            <w:pPr>
              <w:pStyle w:val="Compact"/>
              <w:jc w:val="left"/>
            </w:pPr>
            <w:r>
              <w:rPr>
                <w:bCs/>
                <w:b/>
              </w:rPr>
              <w:t xml:space="preserve">Key figures</w:t>
            </w:r>
          </w:p>
        </w:tc>
        <w:tc>
          <w:tcPr/>
          <w:p>
            <w:pPr>
              <w:pStyle w:val="Compact"/>
              <w:jc w:val="left"/>
            </w:pPr>
            <w:r>
              <w:t xml:space="preserve">Rawls, Dewey, (late) Mill</w:t>
            </w:r>
          </w:p>
        </w:tc>
        <w:tc>
          <w:tcPr/>
          <w:p>
            <w:pPr>
              <w:pStyle w:val="Compact"/>
              <w:jc w:val="left"/>
            </w:pPr>
            <w:r>
              <w:t xml:space="preserve">Nozick, Hayek, Friedman</w:t>
            </w:r>
          </w:p>
        </w:tc>
      </w:tr>
    </w:tbl>
    <w:p>
      <w:pPr>
        <w:pStyle w:val="BoxLabel"/>
      </w:pPr>
      <w:r>
        <w:t xml:space="preserve">Thought Questions</w:t>
      </w:r>
    </w:p>
    <w:p>
      <w:pPr>
        <w:numPr>
          <w:ilvl w:val="0"/>
          <w:numId w:val="1002"/>
        </w:numPr>
        <w:pStyle w:val="Compact"/>
      </w:pPr>
      <w:r>
        <w:t xml:space="preserve">Have you ever chosen not to say something in public — on social media, in class, at work — because you feared backlash? What made you hesitate?</w:t>
      </w:r>
    </w:p>
    <w:p>
      <w:pPr>
        <w:numPr>
          <w:ilvl w:val="0"/>
          <w:numId w:val="1002"/>
        </w:numPr>
        <w:pStyle w:val="Compact"/>
      </w:pPr>
      <w:r>
        <w:t xml:space="preserve">Is freedom of speech more threatened today by governments, by corporations, or by social pressure? Or equally by all three?</w:t>
      </w:r>
    </w:p>
    <w:bookmarkEnd w:id="23"/>
    <w:bookmarkEnd w:id="24"/>
    <w:bookmarkEnd w:id="25"/>
    <w:bookmarkStart w:id="34" w:name="mill"/>
    <w:bookmarkStart w:id="33" w:name="mill-heading"/>
    <w:p>
      <w:pPr>
        <w:pStyle w:val="Heading2"/>
      </w:pPr>
      <w:r>
        <w:t xml:space="preserve">Mill's Arguments for Free Expression</w:t>
      </w:r>
    </w:p>
    <w:p>
      <w:pPr>
        <w:pStyle w:val="KeyThinker"/>
      </w:pPr>
      <w:r>
        <w:drawing>
          <wp:inline>
            <wp:extent cx="5334000" cy="6698901"/>
            <wp:effectExtent b="0" l="0" r="0" t="0"/>
            <wp:docPr descr="Portrait of John Stuart Mill, c. 1870" title="" id="27" name="Picture"/>
            <a:graphic>
              <a:graphicData uri="http://schemas.openxmlformats.org/drawingml/2006/picture">
                <pic:pic>
                  <pic:nvPicPr>
                    <pic:cNvPr descr="/home/user/computing_ai_ethics/images/john_stuart_mill.jpg" id="28" name="Picture"/>
                    <pic:cNvPicPr>
                      <a:picLocks noChangeArrowheads="1" noChangeAspect="1"/>
                    </pic:cNvPicPr>
                  </pic:nvPicPr>
                  <pic:blipFill>
                    <a:blip r:embed="rId26"/>
                    <a:stretch>
                      <a:fillRect/>
                    </a:stretch>
                  </pic:blipFill>
                  <pic:spPr bwMode="auto">
                    <a:xfrm>
                      <a:off x="0" y="0"/>
                      <a:ext cx="5334000" cy="6698901"/>
                    </a:xfrm>
                    <a:prstGeom prst="rect">
                      <a:avLst/>
                    </a:prstGeom>
                    <a:noFill/>
                    <a:ln w="9525">
                      <a:noFill/>
                      <a:headEnd/>
                      <a:tailEnd/>
                    </a:ln>
                  </pic:spPr>
                </pic:pic>
              </a:graphicData>
            </a:graphic>
          </wp:inline>
        </w:drawing>
      </w:r>
    </w:p>
    <w:p>
      <w:pPr>
        <w:pStyle w:val="KeyThinker"/>
      </w:pPr>
      <w:r>
        <w:t xml:space="preserve">John Stuart Mill, c. 1870.</w:t>
      </w:r>
      <w:r>
        <w:br/>
      </w:r>
      <w:r>
        <w:t xml:space="preserve">London Stereoscopic Company. Public domain.</w:t>
      </w:r>
    </w:p>
    <w:bookmarkStart w:id="29" w:name="john-stuart-mill-18061873"/>
    <w:p>
      <w:pPr>
        <w:pStyle w:val="Heading3"/>
      </w:pPr>
      <w:r>
        <w:t xml:space="preserve">John Stuart Mill (1806–1873)</w:t>
      </w:r>
    </w:p>
    <w:p>
      <w:pPr>
        <w:pStyle w:val="KeyThinker"/>
      </w:pPr>
      <w:r>
        <w:t xml:space="preserve">British philosopher, economist, and Member of Parliament, Mill was among the most influential thinkers of the nineteenth century. His father, the philosopher James Mill, subjected him to an extraordinarily rigorous education — he was reading Greek by age three — but Mill later described a mental breakdown in his twenties that led him to temper his father's strict utilitarianism with a richer appreciation of poetry, emotion, and human diversity.</w:t>
      </w:r>
    </w:p>
    <w:p>
      <w:pPr>
        <w:pStyle w:val="KeyThinker"/>
      </w:pPr>
      <w:r>
        <w:t xml:space="preserve">Published in 1859 — the same year as Darwin's</w:t>
      </w:r>
      <w:r>
        <w:t xml:space="preserve"> </w:t>
      </w:r>
      <w:r>
        <w:rPr>
          <w:iCs/>
          <w:i/>
        </w:rPr>
        <w:t xml:space="preserve">On the Origin of Species</w:t>
      </w:r>
      <w:r>
        <w:t xml:space="preserve"> </w:t>
      </w:r>
      <w:r>
        <w:t xml:space="preserve">—</w:t>
      </w:r>
      <w:r>
        <w:t xml:space="preserve"> </w:t>
      </w:r>
      <w:r>
        <w:rPr>
          <w:iCs/>
          <w:i/>
        </w:rPr>
        <w:t xml:space="preserve">On Liberty</w:t>
      </w:r>
      <w:r>
        <w:t xml:space="preserve"> </w:t>
      </w:r>
      <w:r>
        <w:t xml:space="preserve">remains the single most important philosophical defense of free expression in the English language. As a Member of Parliament, Mill presented the first mass petition for women's suffrage to the House of Commons in June 1866 and, the following year, moved the amendment to the Second Reform Bill that would have replaced the word "man" with "person" — an effort he later called the only really important public service he performed in Parliament. He collaborated extensively with Harriet Taylor, whose ideas deeply shaped his feminism. His work on logic, political economy, and ethics continues to anchor university curricula in philosophy, political science, and law around the world.</w:t>
      </w:r>
    </w:p>
    <w:bookmarkEnd w:id="29"/>
    <w:bookmarkStart w:id="32" w:name="the-harm-principle"/>
    <w:p>
      <w:pPr>
        <w:pStyle w:val="Heading3"/>
      </w:pPr>
      <w:r>
        <w:t xml:space="preserve">The Harm Principle</w:t>
      </w:r>
    </w:p>
    <w:p>
      <w:pPr>
        <w:pStyle w:val="FirstParagraph"/>
      </w:pPr>
      <w:r>
        <w:t xml:space="preserve">At the heart of Mill's politics is what has come to be called the</w:t>
      </w:r>
      <w:r>
        <w:t xml:space="preserve"> </w:t>
      </w:r>
      <w:r>
        <w:rPr>
          <w:bCs/>
          <w:b/>
        </w:rPr>
        <w:t xml:space="preserve">harm principle</w:t>
      </w:r>
      <w:r>
        <w:t xml:space="preserve">: the only legitimate reason for society — whether through law or through social pressure — to restrict an individual's liberty is to prevent harm to others. Your own good, physical or moral, is not a sufficient warrant. If you want to do something that affects only yourself, that is your business alone. Only when your actions impose costs on other people does society acquire a right to intervene.</w:t>
      </w:r>
    </w:p>
    <w:p>
      <w:pPr>
        <w:pStyle w:val="BodyText"/>
      </w:pPr>
      <w:r>
        <w:t xml:space="preserve">Applied to speech, the harm principle creates a strong presumption in favor of allowing expression. Offense, disgust, moral disapproval, and discomfort do not, by themselves, count as harms under Mill's framework. This is a deliberately demanding standard. The burden of proof lies with whoever would restrict speech, not with the speaker. And crucially, Mill insists that this principle applies not just to government law but to the informal enforcement of social norms — the "tyranny of the prevailing opinion and feeling" that can crush dissent without any formal prohibition. Writing in the era of Victorian respectability, Mill was acutely aware that social pressure could be a more pervasive censor than any statute.</w:t>
      </w:r>
    </w:p>
    <w:p>
      <w:pPr>
        <w:pStyle w:val="BodyText"/>
      </w:pPr>
      <w:r>
        <w:t xml:space="preserve">With this foundation, Mill builds two distinct arguments for free speech — one consequentialist, one deontological.</w:t>
      </w:r>
    </w:p>
    <w:bookmarkStart w:id="30" w:name="argument-1-the-argument-from-truth"/>
    <w:p>
      <w:pPr>
        <w:pStyle w:val="Heading4"/>
      </w:pPr>
      <w:r>
        <w:t xml:space="preserve">Argument 1: The Argument from Truth</w:t>
      </w:r>
    </w:p>
    <w:p>
      <w:pPr>
        <w:numPr>
          <w:ilvl w:val="0"/>
          <w:numId w:val="1003"/>
        </w:numPr>
        <w:pStyle w:val="Compact"/>
      </w:pPr>
      <w:r>
        <w:t xml:space="preserve">The discovery and dissemination of truth is essential for human progress and happiness.</w:t>
      </w:r>
    </w:p>
    <w:p>
      <w:pPr>
        <w:numPr>
          <w:ilvl w:val="0"/>
          <w:numId w:val="1003"/>
        </w:numPr>
        <w:pStyle w:val="Compact"/>
      </w:pPr>
      <w:r>
        <w:t xml:space="preserve">We can never be</w:t>
      </w:r>
      <w:r>
        <w:t xml:space="preserve"> </w:t>
      </w:r>
      <w:r>
        <w:rPr>
          <w:iCs/>
          <w:i/>
        </w:rPr>
        <w:t xml:space="preserve">certain</w:t>
      </w:r>
      <w:r>
        <w:t xml:space="preserve"> </w:t>
      </w:r>
      <w:r>
        <w:t xml:space="preserve">that a silenced opinion is false.</w:t>
      </w:r>
    </w:p>
    <w:p>
      <w:pPr>
        <w:numPr>
          <w:ilvl w:val="0"/>
          <w:numId w:val="1003"/>
        </w:numPr>
        <w:pStyle w:val="Compact"/>
      </w:pPr>
      <w:r>
        <w:t xml:space="preserve">Even false opinions, when challenged, help us understand and strengthen true ones.</w:t>
      </w:r>
    </w:p>
    <w:p>
      <w:pPr>
        <w:numPr>
          <w:ilvl w:val="0"/>
          <w:numId w:val="1003"/>
        </w:numPr>
        <w:pStyle w:val="Compact"/>
      </w:pPr>
      <w:r>
        <w:t xml:space="preserve">Free and open debate is the best method for discovering truth.</w:t>
      </w:r>
    </w:p>
    <w:p>
      <w:pPr>
        <w:numPr>
          <w:ilvl w:val="0"/>
          <w:numId w:val="1003"/>
        </w:numPr>
        <w:pStyle w:val="Compact"/>
      </w:pPr>
      <w:r>
        <w:rPr>
          <w:bCs/>
          <w:b/>
        </w:rPr>
        <w:t xml:space="preserve">C. Therefore, speech should be free except to prevent direct harm to others.</w:t>
      </w:r>
    </w:p>
    <w:bookmarkEnd w:id="30"/>
    <w:p>
      <w:pPr>
        <w:pStyle w:val="FirstParagraph"/>
      </w:pPr>
      <w:r>
        <w:t xml:space="preserve">The premise that we might be wrong — even about cherished beliefs — is Mill's most powerful move. He calls silencing discussion "an assumption of infallibility." History vindicates his skepticism: heliocentrism was once condemned as dangerous heresy; germ theory was dismissed by leading physicians; women's suffrage was ridiculed as a fringe radical position; the abolition of slavery was treated as economic lunacy. In each case, what seemed like an obvious consensus eventually turned out to be badly wrong. The lesson Mill draws is epistemological: because our collective track record is poor, we should be humble about our ability to identify which views deserve silencing today.</w:t>
      </w:r>
    </w:p>
    <w:p>
      <w:pPr>
        <w:pStyle w:val="BodyText"/>
      </w:pPr>
      <w:r>
        <w:t xml:space="preserve">The second part of the argument from truth concerns not false views but true ones. Even if an opinion is correct, Mill argues, suppressing opposition does us harm: unchallenged beliefs become what he calls</w:t>
      </w:r>
      <w:r>
        <w:t xml:space="preserve"> </w:t>
      </w:r>
      <w:r>
        <w:rPr>
          <w:bCs/>
          <w:b/>
        </w:rPr>
        <w:t xml:space="preserve">"dead dogma"</w:t>
      </w:r>
      <w:r>
        <w:t xml:space="preserve"> </w:t>
      </w:r>
      <w:r>
        <w:t xml:space="preserve">— held as a matter of habit or convention, without understanding why they are true or how to defend them against new challenges. A person who has never seriously engaged with the arguments against their view is poorly equipped when those arguments eventually surface. The value of the devil's advocate, of adversarial debate, of taking the other side seriously — this is not just an intellectual nicety but a practical necessity for maintaining a living, vital grasp of truth.</w:t>
      </w:r>
    </w:p>
    <w:p>
      <w:pPr>
        <w:pStyle w:val="BodyText"/>
      </w:pPr>
      <w:r>
        <w:t xml:space="preserve">The image Mill invokes for premise four is one of the most famous in the history of political philosophy: the</w:t>
      </w:r>
      <w:r>
        <w:t xml:space="preserve"> </w:t>
      </w:r>
      <w:r>
        <w:rPr>
          <w:bCs/>
          <w:b/>
        </w:rPr>
        <w:t xml:space="preserve">marketplace of ideas</w:t>
      </w:r>
      <w:r>
        <w:t xml:space="preserve">. Just as economic markets allow goods to compete so that the best products tend (over time, imperfectly) to prevail, an open marketplace of ideas allows arguments to compete so that the strongest positions tend (over time, imperfectly) to win out. Suppression, on this view, is counterproductive: it prevents bad ideas from being publicly refuted, drives them underground where they cannot be examined, and makes their advocates into martyrs whose persecution generates sympathy. A striking historical example: the Congregation of the Index condemned Copernicus's</w:t>
      </w:r>
      <w:r>
        <w:t xml:space="preserve"> </w:t>
      </w:r>
      <w:r>
        <w:rPr>
          <w:iCs/>
          <w:i/>
        </w:rPr>
        <w:t xml:space="preserve">On the Revolutions of the Heavenly Spheres</w:t>
      </w:r>
      <w:r>
        <w:t xml:space="preserve"> </w:t>
      </w:r>
      <w:r>
        <w:t xml:space="preserve">in 1616 and added Galileo's</w:t>
      </w:r>
      <w:r>
        <w:t xml:space="preserve"> </w:t>
      </w:r>
      <w:r>
        <w:rPr>
          <w:iCs/>
          <w:i/>
        </w:rPr>
        <w:t xml:space="preserve">Dialogue Concerning the Two Chief World Systems</w:t>
      </w:r>
      <w:r>
        <w:t xml:space="preserve"> </w:t>
      </w:r>
      <w:r>
        <w:t xml:space="preserve">to the Index of Forbidden Books after his 1633 trial. The prohibition did not stop the argument. Copies were smuggled out of Italy and a Latin translation appeared in Protestant Strasbourg in 1635, so the ban advertised the book's importance while preventing the Church from refuting it publicly on the merits.</w:t>
      </w:r>
    </w:p>
    <w:bookmarkStart w:id="31" w:name="argument-2-the-argument-from-autonomy"/>
    <w:p>
      <w:pPr>
        <w:pStyle w:val="Heading4"/>
      </w:pPr>
      <w:r>
        <w:t xml:space="preserve">Argument 2: The Argument from Autonomy</w:t>
      </w:r>
    </w:p>
    <w:p>
      <w:pPr>
        <w:numPr>
          <w:ilvl w:val="0"/>
          <w:numId w:val="1004"/>
        </w:numPr>
        <w:pStyle w:val="Compact"/>
      </w:pPr>
      <w:r>
        <w:t xml:space="preserve">Respect for persons requires treating them as autonomous agents capable of rational self-direction.</w:t>
      </w:r>
    </w:p>
    <w:p>
      <w:pPr>
        <w:numPr>
          <w:ilvl w:val="0"/>
          <w:numId w:val="1004"/>
        </w:numPr>
        <w:pStyle w:val="Compact"/>
      </w:pPr>
      <w:r>
        <w:t xml:space="preserve">Autonomous agency requires the ability to form, express, and revise one's beliefs and values freely.</w:t>
      </w:r>
    </w:p>
    <w:p>
      <w:pPr>
        <w:numPr>
          <w:ilvl w:val="0"/>
          <w:numId w:val="1004"/>
        </w:numPr>
        <w:pStyle w:val="Compact"/>
      </w:pPr>
      <w:r>
        <w:t xml:space="preserve">Restricting speech treats persons as incapable of judging ideas for themselves.</w:t>
      </w:r>
    </w:p>
    <w:p>
      <w:pPr>
        <w:numPr>
          <w:ilvl w:val="0"/>
          <w:numId w:val="1004"/>
        </w:numPr>
        <w:pStyle w:val="Compact"/>
      </w:pPr>
      <w:r>
        <w:rPr>
          <w:bCs/>
          <w:b/>
        </w:rPr>
        <w:t xml:space="preserve">C. Therefore, restricting speech violates human dignity and autonomy.</w:t>
      </w:r>
    </w:p>
    <w:bookmarkEnd w:id="31"/>
    <w:p>
      <w:pPr>
        <w:pStyle w:val="FirstParagraph"/>
      </w:pPr>
      <w:r>
        <w:t xml:space="preserve">The second argument shifts from consequences to rights. Even if we could somehow guarantee that censoring a particular view would have no bad epistemic effects, restricting speech would still be wrong because it treats adults as children who cannot be trusted to encounter ideas and evaluate them for themselves. Censorship is inherently</w:t>
      </w:r>
      <w:r>
        <w:t xml:space="preserve"> </w:t>
      </w:r>
      <w:r>
        <w:rPr>
          <w:bCs/>
          <w:b/>
        </w:rPr>
        <w:t xml:space="preserve">paternalistic</w:t>
      </w:r>
      <w:r>
        <w:t xml:space="preserve"> </w:t>
      </w:r>
      <w:r>
        <w:t xml:space="preserve">— it says, in effect, "we know better than you what you should be allowed to hear." This conflicts with the Kantian idea, which Mill endorses in modified form, that human beings have a dignity that demands being treated as ends in themselves, not merely means. To refuse someone access to an idea because you think it might harm them is to deny their status as a rational, self-governing person.</w:t>
      </w:r>
    </w:p>
    <w:p>
      <w:pPr>
        <w:pStyle w:val="BoxLabel"/>
      </w:pPr>
      <w:r>
        <w:t xml:space="preserve">Thought Questions</w:t>
      </w:r>
    </w:p>
    <w:p>
      <w:pPr>
        <w:numPr>
          <w:ilvl w:val="0"/>
          <w:numId w:val="1005"/>
        </w:numPr>
        <w:pStyle w:val="Compact"/>
      </w:pPr>
      <w:r>
        <w:t xml:space="preserve">Can you think of a belief that was once treated as obviously true — or obviously dangerous — but that we now view very differently? What does this suggest about today's confident opinions?</w:t>
      </w:r>
    </w:p>
    <w:p>
      <w:pPr>
        <w:numPr>
          <w:ilvl w:val="0"/>
          <w:numId w:val="1005"/>
        </w:numPr>
        <w:pStyle w:val="Compact"/>
      </w:pPr>
      <w:r>
        <w:t xml:space="preserve">Is being offended the same as being harmed? Where would you draw the line between the two, and does your answer change depending on the type of speech?</w:t>
      </w:r>
    </w:p>
    <w:p>
      <w:pPr>
        <w:numPr>
          <w:ilvl w:val="0"/>
          <w:numId w:val="1005"/>
        </w:numPr>
        <w:pStyle w:val="Compact"/>
      </w:pPr>
      <w:r>
        <w:t xml:space="preserve">Mill claims that even true beliefs become "dead dogma" when they go unchallenged. Do you think this applies to any beliefs you currently hold without having seriously examined the opposing arguments?</w:t>
      </w:r>
    </w:p>
    <w:p>
      <w:pPr>
        <w:numPr>
          <w:ilvl w:val="0"/>
          <w:numId w:val="1005"/>
        </w:numPr>
        <w:pStyle w:val="Compact"/>
      </w:pPr>
      <w:r>
        <w:t xml:space="preserve">The autonomy argument treats censorship as paternalistic. Are there cases where paternalism is clearly justified — and if so, does that make some speech restrictions acceptable?</w:t>
      </w:r>
    </w:p>
    <w:bookmarkEnd w:id="32"/>
    <w:bookmarkEnd w:id="33"/>
    <w:bookmarkEnd w:id="34"/>
    <w:bookmarkStart w:id="43" w:name="threats"/>
    <w:bookmarkStart w:id="42" w:name="threats-heading"/>
    <w:p>
      <w:pPr>
        <w:pStyle w:val="Heading2"/>
      </w:pPr>
      <w:r>
        <w:t xml:space="preserve">Four Threats to Free Speech</w:t>
      </w:r>
    </w:p>
    <w:p>
      <w:pPr>
        <w:pStyle w:val="FirstParagraph"/>
      </w:pPr>
      <w:r>
        <w:t xml:space="preserve">Mill recognized that the threat to free expression comes not only from government censors but from multiple sources. Contemporary analysis identifies four distinct categories of threat, each of which operates differently and calls for different responses.</w:t>
      </w:r>
    </w:p>
    <w:p>
      <w:pPr>
        <w:pStyle w:val="CaptionedFigure"/>
      </w:pPr>
      <w:r>
        <w:drawing>
          <wp:inline>
            <wp:extent cx="5334000" cy="1128346"/>
            <wp:effectExtent b="0" l="0" r="0" t="0"/>
            <wp:docPr descr="Diagram 1" title="" id="36" name="Picture"/>
            <a:graphic>
              <a:graphicData uri="http://schemas.openxmlformats.org/drawingml/2006/picture">
                <pic:pic>
                  <pic:nvPicPr>
                    <pic:cNvPr descr="/tmp/docx-build-87TwSJ/ch03_free_speech-diagrams/diag_0.png" id="37" name="Picture"/>
                    <pic:cNvPicPr>
                      <a:picLocks noChangeArrowheads="1" noChangeAspect="1"/>
                    </pic:cNvPicPr>
                  </pic:nvPicPr>
                  <pic:blipFill>
                    <a:blip r:embed="rId35"/>
                    <a:stretch>
                      <a:fillRect/>
                    </a:stretch>
                  </pic:blipFill>
                  <pic:spPr bwMode="auto">
                    <a:xfrm>
                      <a:off x="0" y="0"/>
                      <a:ext cx="5334000" cy="1128346"/>
                    </a:xfrm>
                    <a:prstGeom prst="rect">
                      <a:avLst/>
                    </a:prstGeom>
                    <a:noFill/>
                    <a:ln w="9525">
                      <a:noFill/>
                      <a:headEnd/>
                      <a:tailEnd/>
                    </a:ln>
                  </pic:spPr>
                </pic:pic>
              </a:graphicData>
            </a:graphic>
          </wp:inline>
        </w:drawing>
      </w:r>
    </w:p>
    <w:p>
      <w:pPr>
        <w:pStyle w:val="ImageCaption"/>
      </w:pPr>
      <w:r>
        <w:t xml:space="preserve">Figure 3.1 — Four distinct threats to free expression. Mill wrote at length about the first two, government censorship and social tyranny; the second pair, corporate platform decisions and economic barriers to reaching an audience, belong to a world he never saw. Each calls for a different remedy.</w:t>
      </w:r>
    </w:p>
    <w:bookmarkStart w:id="38" w:name="threat-1-government-censorship"/>
    <w:p>
      <w:pPr>
        <w:pStyle w:val="Heading3"/>
      </w:pPr>
      <w:r>
        <w:t xml:space="preserve">Threat 1: Government Censorship</w:t>
      </w:r>
    </w:p>
    <w:p>
      <w:pPr>
        <w:pStyle w:val="FirstParagraph"/>
      </w:pPr>
      <w:r>
        <w:t xml:space="preserve">The most traditional threat is direct state suppression: prior restraint (blocking publication before it happens), criminal penalties for speech crimes, and licensing requirements that allow only approved voices. Mill wrote at a time when blasphemy laws, sedition acts, and obscenity prosecutions were real dangers for journalists and political dissidents. The twentieth century added wartime speech restrictions, McCarthyism, and state-controlled media in authoritarian regimes. Today, internet censorship in countries like China, Russia, and Iran represents this threat in its most technologically sophisticated form — entire platforms blocked, VPNs criminalized, keywords algorithmically filtered. China's "Great Firewall," for instance, blocks Google, YouTube, Facebook, Twitter, Instagram, Wikipedia, and the New York Times entirely, replacing them with domestically-controlled alternatives like Weibo and WeChat that can be more easily monitored. Search queries for politically sensitive terms — "Tiananmen Square massacre," "Taiwan independence," "Uyghur detention camps" — return no results or are automatically redirected. Russia, following its invasion of Ukraine in 2022, blocked Facebook and Instagram and criminalized the spreading of "false information" about its armed forces, with citizens facing up to fifteen years in prison — a law enforced in practice against anyone who called the invasion a "war" rather than a "special military operation."</w:t>
      </w:r>
    </w:p>
    <w:p>
      <w:pPr>
        <w:pStyle w:val="BodyText"/>
      </w:pPr>
      <w:r>
        <w:t xml:space="preserve">In the United States, the First Amendment provides unusually strong protection against government censorship: "Congress shall make no law... abridging the freedom of speech, or of the press." American free speech law is notably more permissive than European approaches, reflecting the specific historical experience of colonial-era censorship and the founders' suspicion of concentrated government power. Understanding this legal background is essential for making sense of contemporary debates, because the First Amendment only constrains</w:t>
      </w:r>
      <w:r>
        <w:t xml:space="preserve"> </w:t>
      </w:r>
      <w:r>
        <w:rPr>
          <w:iCs/>
          <w:i/>
        </w:rPr>
        <w:t xml:space="preserve">government</w:t>
      </w:r>
      <w:r>
        <w:t xml:space="preserve"> </w:t>
      </w:r>
      <w:r>
        <w:t xml:space="preserve">actors — not private companies.</w:t>
      </w:r>
    </w:p>
    <w:bookmarkEnd w:id="38"/>
    <w:bookmarkStart w:id="39" w:name="threat-2-social-tyranny"/>
    <w:p>
      <w:pPr>
        <w:pStyle w:val="Heading3"/>
      </w:pPr>
      <w:r>
        <w:t xml:space="preserve">Threat 2: Social Tyranny</w:t>
      </w:r>
    </w:p>
    <w:p>
      <w:pPr>
        <w:pStyle w:val="FirstParagraph"/>
      </w:pPr>
      <w:r>
        <w:t xml:space="preserve">Mill's second threat is subtler but in some ways more pervasive. Social pressure — ostracism, reputational destruction, loss of employment, self-censorship born of fear — can suppress speech as effectively as any law, and without any formal prohibition that could be challenged in court. Mill called this "social tyranny" and considered it in some respects more formidable than many kinds of political oppression, because it leaves fewer means of escape, "penetrating much more deeply into the details of life, and enslaving the soul itself." You can move to a different country to escape a censorious government; it is harder to escape the disapproval of everyone around you.</w:t>
      </w:r>
    </w:p>
    <w:p>
      <w:pPr>
        <w:pStyle w:val="BodyText"/>
      </w:pPr>
      <w:r>
        <w:t xml:space="preserve">Contemporary debates about "cancel culture" map directly onto Mill's concern about social tyranny. Whether dismissing, publicly shaming, or boycotting someone for their expressed views constitutes illegitimate suppression or a legitimate exercise of others' own free speech is a genuinely contested question. Mill's framework does not straightforwardly resolve it: he is clear that social disapproval is itself a form of expression, but he is equally clear that when social pressure becomes a means of crushing dissent, it undermines the conditions for free thought even without any law being broken.</w:t>
      </w:r>
    </w:p>
    <w:bookmarkEnd w:id="39"/>
    <w:bookmarkStart w:id="40" w:name="threat-3-corporate-platform-power"/>
    <w:p>
      <w:pPr>
        <w:pStyle w:val="Heading3"/>
      </w:pPr>
      <w:r>
        <w:t xml:space="preserve">Threat 3: Corporate Platform Power</w:t>
      </w:r>
    </w:p>
    <w:p>
      <w:pPr>
        <w:pStyle w:val="FirstParagraph"/>
      </w:pPr>
      <w:r>
        <w:t xml:space="preserve">This is the threat Mill did not fully anticipate — and the one most central to contemporary debate. A handful of private corporations now control the infrastructure of public communication for billions of people. Facebook is generally estimated at roughly three billion monthly users, Instagram and WhatsApp at three billion or more each, YouTube at about two and a half billion, and TikTok at somewhere near two billion. Worldwide, DataReportal's</w:t>
      </w:r>
      <w:r>
        <w:t xml:space="preserve"> </w:t>
      </w:r>
      <w:r>
        <w:rPr>
          <w:iCs/>
          <w:i/>
        </w:rPr>
        <w:t xml:space="preserve">Digital 2026</w:t>
      </w:r>
      <w:r>
        <w:t xml:space="preserve"> </w:t>
      </w:r>
      <w:r>
        <w:t xml:space="preserve">report counts about 5.79 billion social media user identities — close to 70% of the world's population, though one person often holds several accounts</w:t>
      </w:r>
      <w:r>
        <w:t xml:space="preserve"> </w:t>
      </w:r>
      <w:r>
        <w:t xml:space="preserve">(Kemp, 2026)</w:t>
      </w:r>
      <w:r>
        <w:t xml:space="preserve">. These platforms set their own rules through</w:t>
      </w:r>
      <w:r>
        <w:t xml:space="preserve"> </w:t>
      </w:r>
      <w:r>
        <w:rPr>
          <w:bCs/>
          <w:b/>
        </w:rPr>
        <w:t xml:space="preserve">Terms of Service</w:t>
      </w:r>
      <w:r>
        <w:t xml:space="preserve">, enforce those rules through content moderation teams and AI systems, and exercise enormous discretion over whose content gets amplified, whose gets suppressed, and whose account gets suspended.</w:t>
      </w:r>
    </w:p>
    <w:p>
      <w:pPr>
        <w:pStyle w:val="TableCaption"/>
      </w:pPr>
      <w:r>
        <w:t xml:space="preserve">Table 3.2 — Major Social Media Platforms: Reported Reach and Moderation Power</w:t>
      </w:r>
    </w:p>
    <w:tbl>
      <w:tblPr>
        <w:tblStyle w:val="Table"/>
        <w:tblW w:type="auto" w:w="0"/>
        <w:tblLook w:firstRow="1" w:lastRow="0" w:firstColumn="0" w:lastColumn="0" w:noHBand="0" w:noVBand="0" w:val="0020"/>
        <w:jc w:val="start"/>
        <w:tblCaption w:val="Table 3.2 — Major Social Media Platforms: Reported Reach and Moderation Power"/>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Reported reach (and what is actually being counted)</w:t>
            </w:r>
          </w:p>
        </w:tc>
        <w:tc>
          <w:tcPr/>
          <w:p>
            <w:pPr>
              <w:pStyle w:val="Compact"/>
              <w:jc w:val="left"/>
            </w:pPr>
            <w:r>
              <w:t xml:space="preserve">Moderation Tools</w:t>
            </w:r>
          </w:p>
        </w:tc>
      </w:tr>
      <w:tr>
        <w:tc>
          <w:tcPr/>
          <w:p>
            <w:pPr>
              <w:pStyle w:val="Compact"/>
              <w:jc w:val="left"/>
            </w:pPr>
            <w:r>
              <w:t xml:space="preserve">Facebook</w:t>
            </w:r>
          </w:p>
        </w:tc>
        <w:tc>
          <w:tcPr/>
          <w:p>
            <w:pPr>
              <w:pStyle w:val="Compact"/>
              <w:jc w:val="left"/>
            </w:pPr>
            <w:r>
              <w:t xml:space="preserve">~3.1 billion monthly actives (Meta stopped reporting Facebook-specific figures after Q3 2023)</w:t>
            </w:r>
          </w:p>
        </w:tc>
        <w:tc>
          <w:tcPr/>
          <w:p>
            <w:pPr>
              <w:pStyle w:val="Compact"/>
              <w:jc w:val="left"/>
            </w:pPr>
            <w:r>
              <w:t xml:space="preserve">Content removal, account bans, reduced distribution</w:t>
            </w:r>
          </w:p>
        </w:tc>
      </w:tr>
      <w:tr>
        <w:tc>
          <w:tcPr/>
          <w:p>
            <w:pPr>
              <w:pStyle w:val="Compact"/>
              <w:jc w:val="left"/>
            </w:pPr>
            <w:r>
              <w:t xml:space="preserve">Instagram</w:t>
            </w:r>
          </w:p>
        </w:tc>
        <w:tc>
          <w:tcPr/>
          <w:p>
            <w:pPr>
              <w:pStyle w:val="Compact"/>
              <w:jc w:val="left"/>
            </w:pPr>
            <w:r>
              <w:t xml:space="preserve">3+ billion monthly actives</w:t>
            </w:r>
          </w:p>
        </w:tc>
        <w:tc>
          <w:tcPr/>
          <w:p>
            <w:pPr>
              <w:pStyle w:val="Compact"/>
              <w:jc w:val="left"/>
            </w:pPr>
            <w:r>
              <w:t xml:space="preserve">Content removal, account bans, shadow-restrictions</w:t>
            </w:r>
          </w:p>
        </w:tc>
      </w:tr>
      <w:tr>
        <w:tc>
          <w:tcPr/>
          <w:p>
            <w:pPr>
              <w:pStyle w:val="Compact"/>
              <w:jc w:val="left"/>
            </w:pPr>
            <w:r>
              <w:t xml:space="preserve">YouTube</w:t>
            </w:r>
          </w:p>
        </w:tc>
        <w:tc>
          <w:tcPr/>
          <w:p>
            <w:pPr>
              <w:pStyle w:val="Compact"/>
              <w:jc w:val="left"/>
            </w:pPr>
            <w:r>
              <w:t xml:space="preserve">~2.5 billion monthly actives</w:t>
            </w:r>
          </w:p>
        </w:tc>
        <w:tc>
          <w:tcPr/>
          <w:p>
            <w:pPr>
              <w:pStyle w:val="Compact"/>
              <w:jc w:val="left"/>
            </w:pPr>
            <w:r>
              <w:t xml:space="preserve">Demonetization, video removal, strikes system</w:t>
            </w:r>
          </w:p>
        </w:tc>
      </w:tr>
      <w:tr>
        <w:tc>
          <w:tcPr/>
          <w:p>
            <w:pPr>
              <w:pStyle w:val="Compact"/>
              <w:jc w:val="left"/>
            </w:pPr>
            <w:r>
              <w:t xml:space="preserve">TikTok</w:t>
            </w:r>
          </w:p>
        </w:tc>
        <w:tc>
          <w:tcPr/>
          <w:p>
            <w:pPr>
              <w:pStyle w:val="Compact"/>
              <w:jc w:val="left"/>
            </w:pPr>
            <w:r>
              <w:t xml:space="preserve">~1.9–2 billion (ByteDance is privately held, so outside estimates only)</w:t>
            </w:r>
          </w:p>
        </w:tc>
        <w:tc>
          <w:tcPr/>
          <w:p>
            <w:pPr>
              <w:pStyle w:val="Compact"/>
              <w:jc w:val="left"/>
            </w:pPr>
            <w:r>
              <w:t xml:space="preserve">Content suppression, bans, "Not Recommended" flags</w:t>
            </w:r>
          </w:p>
        </w:tc>
      </w:tr>
      <w:tr>
        <w:tc>
          <w:tcPr/>
          <w:p>
            <w:pPr>
              <w:pStyle w:val="Compact"/>
              <w:jc w:val="left"/>
            </w:pPr>
            <w:r>
              <w:t xml:space="preserve">X/Twitter</w:t>
            </w:r>
          </w:p>
        </w:tc>
        <w:tc>
          <w:tcPr/>
          <w:p>
            <w:pPr>
              <w:pStyle w:val="Compact"/>
              <w:jc w:val="left"/>
            </w:pPr>
            <w:r>
              <w:t xml:space="preserve">~550–650 million (estimated; last audited disclosure was 237.8 million monetizable daily actives in Q2 2022)</w:t>
            </w:r>
          </w:p>
        </w:tc>
        <w:tc>
          <w:tcPr/>
          <w:p>
            <w:pPr>
              <w:pStyle w:val="Compact"/>
              <w:jc w:val="left"/>
            </w:pPr>
            <w:r>
              <w:t xml:space="preserve">Suspensions, "visibility limits," labels</w:t>
            </w:r>
          </w:p>
        </w:tc>
      </w:tr>
      <w:tr>
        <w:tc>
          <w:tcPr/>
          <w:p>
            <w:pPr>
              <w:pStyle w:val="Compact"/>
              <w:jc w:val="left"/>
            </w:pPr>
            <w:r>
              <w:t xml:space="preserve">Reddit</w:t>
            </w:r>
          </w:p>
        </w:tc>
        <w:tc>
          <w:tcPr/>
          <w:p>
            <w:pPr>
              <w:pStyle w:val="Compact"/>
              <w:jc w:val="left"/>
            </w:pPr>
            <w:r>
              <w:t xml:space="preserve">493.1 million weekly actives (Reddit does not report a monthly figure)</w:t>
            </w:r>
          </w:p>
        </w:tc>
        <w:tc>
          <w:tcPr/>
          <w:p>
            <w:pPr>
              <w:pStyle w:val="Compact"/>
              <w:jc w:val="left"/>
            </w:pPr>
            <w:r>
              <w:t xml:space="preserve">Removals, subreddit quarantines and bans</w:t>
            </w:r>
          </w:p>
        </w:tc>
      </w:tr>
      <w:tr>
        <w:tc>
          <w:tcPr/>
          <w:p>
            <w:pPr>
              <w:pStyle w:val="Compact"/>
              <w:jc w:val="left"/>
            </w:pPr>
            <w:r>
              <w:t xml:space="preserve">LinkedIn</w:t>
            </w:r>
          </w:p>
        </w:tc>
        <w:tc>
          <w:tcPr/>
          <w:p>
            <w:pPr>
              <w:pStyle w:val="Compact"/>
              <w:jc w:val="left"/>
            </w:pPr>
            <w:r>
              <w:t xml:space="preserve">1.2 billion</w:t>
            </w:r>
            <w:r>
              <w:t xml:space="preserve"> </w:t>
            </w:r>
            <w:r>
              <w:rPr>
                <w:iCs/>
                <w:i/>
              </w:rPr>
              <w:t xml:space="preserve">registered members</w:t>
            </w:r>
            <w:r>
              <w:t xml:space="preserve">, not active users</w:t>
            </w:r>
          </w:p>
        </w:tc>
        <w:tc>
          <w:tcPr/>
          <w:p>
            <w:pPr>
              <w:pStyle w:val="Compact"/>
              <w:jc w:val="left"/>
            </w:pPr>
            <w:r>
              <w:t xml:space="preserve">Content removal, account restrictions</w:t>
            </w:r>
          </w:p>
        </w:tc>
      </w:tr>
    </w:tbl>
    <w:p>
      <w:pPr>
        <w:pStyle w:val="BodyText"/>
      </w:pPr>
      <w:r>
        <w:t xml:space="preserve">Read that table skeptically — it is a small lesson in how technical claims get built. Every row uses a different yardstick. Some platforms report monthly active users, some report daily actives, some report weekly actives, and some report registered accounts, which is a much softer number because it includes people who signed up once and never returned. Several companies have simply stopped publishing platform-level figures, and X has released no audited user numbers since the second quarter of 2022, so every later figure for it is an outside estimate rather than a disclosure. Lining these numbers up in a single column is convenient, and slightly dishonest: it invites you to compare quantities that were never measured the same way. When you meet a table like this in a news story or a policy brief, the useful question is not "which platform is biggest?" but "who counted, using what definition, and what did they have to gain?"</w:t>
      </w:r>
    </w:p>
    <w:p>
      <w:pPr>
        <w:pStyle w:val="BodyText"/>
      </w:pPr>
      <w:r>
        <w:t xml:space="preserve">The constitutional problem is that the First Amendment protects against</w:t>
      </w:r>
      <w:r>
        <w:t xml:space="preserve"> </w:t>
      </w:r>
      <w:r>
        <w:rPr>
          <w:iCs/>
          <w:i/>
        </w:rPr>
        <w:t xml:space="preserve">government</w:t>
      </w:r>
      <w:r>
        <w:t xml:space="preserve"> </w:t>
      </w:r>
      <w:r>
        <w:t xml:space="preserve">censorship, not private censorship. A platform banning your account is not a First Amendment violation, any more than a private newspaper refusing to publish your letter to the editor is a violation. But the practical reality is that these platforms have taken on a public significance that private newspapers never had. When a sitting president of the United States loses his accounts on Twitter, Facebook, and YouTube within days of one another — as happened in January 2021 — private editorial decisions have public consequences that feel qualitatively different from a local newspaper declining to print a letter.</w:t>
      </w:r>
    </w:p>
    <w:bookmarkEnd w:id="40"/>
    <w:bookmarkStart w:id="41" w:name="threat-4-economic-barriers"/>
    <w:p>
      <w:pPr>
        <w:pStyle w:val="Heading3"/>
      </w:pPr>
      <w:r>
        <w:t xml:space="preserve">Threat 4: Economic Barriers</w:t>
      </w:r>
    </w:p>
    <w:p>
      <w:pPr>
        <w:pStyle w:val="FirstParagraph"/>
      </w:pPr>
      <w:r>
        <w:t xml:space="preserve">The internet has dramatically lowered the barriers to</w:t>
      </w:r>
      <w:r>
        <w:t xml:space="preserve"> </w:t>
      </w:r>
      <w:r>
        <w:rPr>
          <w:iCs/>
          <w:i/>
        </w:rPr>
        <w:t xml:space="preserve">producing</w:t>
      </w:r>
      <w:r>
        <w:t xml:space="preserve"> </w:t>
      </w:r>
      <w:r>
        <w:t xml:space="preserve">speech — anyone with a smartphone can broadcast to the world — but it has simultaneously raised barriers to being</w:t>
      </w:r>
      <w:r>
        <w:t xml:space="preserve"> </w:t>
      </w:r>
      <w:r>
        <w:rPr>
          <w:iCs/>
          <w:i/>
        </w:rPr>
        <w:t xml:space="preserve">heard</w:t>
      </w:r>
      <w:r>
        <w:t xml:space="preserve">. Algorithms and attention economics now determine whose content reaches an audience. A tweet or post that gains early engagement gets amplified to millions; one that doesn't is invisible within hours. Advertising-dependent media outlets face pressure to produce content their sponsors approve of. Venture-capital-funded platforms must generate returns that may conflict with serving diverse, low-profit communities. The result is that "free speech" as formal permission coexists with severe practical inequality in who actually shapes the information environment.</w:t>
      </w:r>
    </w:p>
    <w:p>
      <w:pPr>
        <w:pStyle w:val="BoxLabel"/>
      </w:pPr>
      <w:r>
        <w:t xml:space="preserve">Thought Questions</w:t>
      </w:r>
    </w:p>
    <w:p>
      <w:pPr>
        <w:numPr>
          <w:ilvl w:val="0"/>
          <w:numId w:val="1006"/>
        </w:numPr>
        <w:pStyle w:val="Compact"/>
      </w:pPr>
      <w:r>
        <w:t xml:space="preserve">Which of the four threats — government, social pressure, corporate platforms, or economic barriers — do you think poses the greatest danger to free expression today? Does your answer differ depending on who you imagine as the speaker?</w:t>
      </w:r>
    </w:p>
    <w:p>
      <w:pPr>
        <w:numPr>
          <w:ilvl w:val="0"/>
          <w:numId w:val="1006"/>
        </w:numPr>
        <w:pStyle w:val="Compact"/>
      </w:pPr>
      <w:r>
        <w:t xml:space="preserve">When someone is publicly shamed or "cancelled" for their views, is that an exercise of others' free speech, a form of social tyranny, or both? How would Mill distinguish between legitimate social criticism and illegitimate silencing?</w:t>
      </w:r>
    </w:p>
    <w:p>
      <w:pPr>
        <w:numPr>
          <w:ilvl w:val="0"/>
          <w:numId w:val="1006"/>
        </w:numPr>
        <w:pStyle w:val="Compact"/>
      </w:pPr>
      <w:r>
        <w:t xml:space="preserve">Should a private company like Facebook or X/Twitter have the same free speech obligations as a government? What are the strongest arguments on each side?</w:t>
      </w:r>
    </w:p>
    <w:bookmarkEnd w:id="41"/>
    <w:bookmarkEnd w:id="42"/>
    <w:bookmarkEnd w:id="43"/>
    <w:bookmarkStart w:id="54" w:name="limits"/>
    <w:bookmarkStart w:id="53" w:name="limits-heading"/>
    <w:p>
      <w:pPr>
        <w:pStyle w:val="Heading2"/>
      </w:pPr>
      <w:r>
        <w:t xml:space="preserve">The Limits of Free Expression</w:t>
      </w:r>
    </w:p>
    <w:p>
      <w:pPr>
        <w:pStyle w:val="FirstParagraph"/>
      </w:pPr>
      <w:r>
        <w:t xml:space="preserve">Even Mill acknowledged that speech rights are not absolute. The question is where to draw the line — and different philosophical frameworks, different legal systems, and different communities draw it in very different places.</w:t>
      </w:r>
    </w:p>
    <w:bookmarkStart w:id="45" w:name="mills-corn-dealer-example"/>
    <w:p>
      <w:pPr>
        <w:pStyle w:val="Heading3"/>
      </w:pPr>
      <w:r>
        <w:t xml:space="preserve">Mill's Corn Dealer Example</w:t>
      </w:r>
    </w:p>
    <w:bookmarkStart w:id="44" w:name="case-study-the-corn-dealer"/>
    <w:p>
      <w:pPr>
        <w:pStyle w:val="Heading4"/>
      </w:pPr>
      <w:r>
        <w:t xml:space="preserve">Case Study: The Corn Dealer</w:t>
      </w:r>
    </w:p>
    <w:p>
      <w:pPr>
        <w:pStyle w:val="CaseStudy"/>
      </w:pPr>
      <w:r>
        <w:t xml:space="preserve">Mill offers a famous illustration to show how context affects whether speech can legitimately be restricted. Consider the claim "corn dealers are starvers of the poor."</w:t>
      </w:r>
    </w:p>
    <w:p>
      <w:pPr>
        <w:numPr>
          <w:ilvl w:val="0"/>
          <w:numId w:val="1007"/>
        </w:numPr>
        <w:pStyle w:val="Compact"/>
      </w:pPr>
      <w:r>
        <w:rPr>
          <w:bCs/>
          <w:b/>
        </w:rPr>
        <w:t xml:space="preserve">Acceptable:</w:t>
      </w:r>
      <w:r>
        <w:t xml:space="preserve"> </w:t>
      </w:r>
      <w:r>
        <w:t xml:space="preserve">Publishing this opinion in a newspaper allows it to be read, considered, and debated.</w:t>
      </w:r>
    </w:p>
    <w:p>
      <w:pPr>
        <w:numPr>
          <w:ilvl w:val="0"/>
          <w:numId w:val="1007"/>
        </w:numPr>
        <w:pStyle w:val="Compact"/>
      </w:pPr>
      <w:r>
        <w:rPr>
          <w:bCs/>
          <w:b/>
        </w:rPr>
        <w:t xml:space="preserve">Unacceptable:</w:t>
      </w:r>
      <w:r>
        <w:t xml:space="preserve"> </w:t>
      </w:r>
      <w:r>
        <w:t xml:space="preserve">Shouting it to an angry mob gathered outside a corn dealer's house may directly incite violence against the dealer.</w:t>
      </w:r>
    </w:p>
    <w:p>
      <w:pPr>
        <w:pStyle w:val="CaseStudy"/>
      </w:pPr>
      <w:r>
        <w:t xml:space="preserve">The words are identical; what changes is context and imminence. The same claim that deserves full protection in one setting becomes punishable incitement in another. Mill's principle is that speech directly inciting</w:t>
      </w:r>
      <w:r>
        <w:t xml:space="preserve"> </w:t>
      </w:r>
      <w:r>
        <w:rPr>
          <w:iCs/>
          <w:i/>
        </w:rPr>
        <w:t xml:space="preserve">imminent</w:t>
      </w:r>
      <w:r>
        <w:t xml:space="preserve"> </w:t>
      </w:r>
      <w:r>
        <w:t xml:space="preserve">harm to specific individuals may be restricted — but the bar is high, requiring both directness and immediacy.</w:t>
      </w:r>
    </w:p>
    <w:bookmarkEnd w:id="44"/>
    <w:p>
      <w:pPr>
        <w:pStyle w:val="BodyText"/>
      </w:pPr>
      <w:r>
        <w:t xml:space="preserve">American law has developed Mill's intuition into a set of categories of constitutionally unprotected speech — speech that falls outside First Amendment protection because it has been judged to cause sufficiently serious harms with insufficient expressive value to justify protection.</w:t>
      </w:r>
    </w:p>
    <w:p>
      <w:pPr>
        <w:pStyle w:val="TableCaption"/>
      </w:pPr>
      <w:r>
        <w:t xml:space="preserve">Table 3.3 — Categories of Unprotected Speech under U.S. Law</w:t>
      </w:r>
    </w:p>
    <w:tbl>
      <w:tblPr>
        <w:tblStyle w:val="Table"/>
        <w:tblW w:type="auto" w:w="0"/>
        <w:tblLook w:firstRow="1" w:lastRow="0" w:firstColumn="0" w:lastColumn="0" w:noHBand="0" w:noVBand="0" w:val="0020"/>
        <w:jc w:val="start"/>
        <w:tblCaption w:val="Table 3.3 — Categories of Unprotected Speech under U.S. Law"/>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Definition</w:t>
            </w:r>
          </w:p>
        </w:tc>
        <w:tc>
          <w:tcPr/>
          <w:p>
            <w:pPr>
              <w:pStyle w:val="Compact"/>
              <w:jc w:val="left"/>
            </w:pPr>
            <w:r>
              <w:t xml:space="preserve">Example</w:t>
            </w:r>
          </w:p>
        </w:tc>
      </w:tr>
      <w:tr>
        <w:tc>
          <w:tcPr/>
          <w:p>
            <w:pPr>
              <w:pStyle w:val="Compact"/>
              <w:jc w:val="left"/>
            </w:pPr>
            <w:r>
              <w:rPr>
                <w:bCs/>
                <w:b/>
              </w:rPr>
              <w:t xml:space="preserve">Incitement</w:t>
            </w:r>
          </w:p>
        </w:tc>
        <w:tc>
          <w:tcPr/>
          <w:p>
            <w:pPr>
              <w:pStyle w:val="Compact"/>
              <w:jc w:val="left"/>
            </w:pPr>
            <w:r>
              <w:t xml:space="preserve">Directed to inciting imminent lawless action and likely to produce it (</w:t>
            </w:r>
            <w:r>
              <w:rPr>
                <w:iCs/>
                <w:i/>
              </w:rPr>
              <w:t xml:space="preserve">Brandenburg v. Ohio</w:t>
            </w:r>
            <w:r>
              <w:t xml:space="preserve">, 1969</w:t>
            </w:r>
            <w:r>
              <w:t xml:space="preserve"> </w:t>
            </w:r>
            <w:r>
              <w:t xml:space="preserve">(Brandenburg v. Ohio, 1969)</w:t>
            </w:r>
            <w:r>
              <w:t xml:space="preserve">)</w:t>
            </w:r>
          </w:p>
        </w:tc>
        <w:tc>
          <w:tcPr/>
          <w:p>
            <w:pPr>
              <w:pStyle w:val="Compact"/>
              <w:jc w:val="left"/>
            </w:pPr>
            <w:r>
              <w:t xml:space="preserve">"Attack that person right now!"</w:t>
            </w:r>
          </w:p>
        </w:tc>
      </w:tr>
      <w:tr>
        <w:tc>
          <w:tcPr/>
          <w:p>
            <w:pPr>
              <w:pStyle w:val="Compact"/>
              <w:jc w:val="left"/>
            </w:pPr>
            <w:r>
              <w:rPr>
                <w:bCs/>
                <w:b/>
              </w:rPr>
              <w:t xml:space="preserve">True threats</w:t>
            </w:r>
          </w:p>
        </w:tc>
        <w:tc>
          <w:tcPr/>
          <w:p>
            <w:pPr>
              <w:pStyle w:val="Compact"/>
              <w:jc w:val="left"/>
            </w:pPr>
            <w:r>
              <w:t xml:space="preserve">Serious intent to commit violence against identifiable target</w:t>
            </w:r>
          </w:p>
        </w:tc>
        <w:tc>
          <w:tcPr/>
          <w:p>
            <w:pPr>
              <w:pStyle w:val="Compact"/>
              <w:jc w:val="left"/>
            </w:pPr>
            <w:r>
              <w:t xml:space="preserve">Specific, credible death threats</w:t>
            </w:r>
          </w:p>
        </w:tc>
      </w:tr>
      <w:tr>
        <w:tc>
          <w:tcPr/>
          <w:p>
            <w:pPr>
              <w:pStyle w:val="Compact"/>
              <w:jc w:val="left"/>
            </w:pPr>
            <w:r>
              <w:rPr>
                <w:bCs/>
                <w:b/>
              </w:rPr>
              <w:t xml:space="preserve">Defamation</w:t>
            </w:r>
          </w:p>
        </w:tc>
        <w:tc>
          <w:tcPr/>
          <w:p>
            <w:pPr>
              <w:pStyle w:val="Compact"/>
              <w:jc w:val="left"/>
            </w:pPr>
            <w:r>
              <w:t xml:space="preserve">False statements of fact that harm reputation</w:t>
            </w:r>
          </w:p>
        </w:tc>
        <w:tc>
          <w:tcPr/>
          <w:p>
            <w:pPr>
              <w:pStyle w:val="Compact"/>
              <w:jc w:val="left"/>
            </w:pPr>
            <w:r>
              <w:t xml:space="preserve">Knowingly false accusations of crimes</w:t>
            </w:r>
          </w:p>
        </w:tc>
      </w:tr>
      <w:tr>
        <w:tc>
          <w:tcPr/>
          <w:p>
            <w:pPr>
              <w:pStyle w:val="Compact"/>
              <w:jc w:val="left"/>
            </w:pPr>
            <w:r>
              <w:rPr>
                <w:bCs/>
                <w:b/>
              </w:rPr>
              <w:t xml:space="preserve">Fraud</w:t>
            </w:r>
          </w:p>
        </w:tc>
        <w:tc>
          <w:tcPr/>
          <w:p>
            <w:pPr>
              <w:pStyle w:val="Compact"/>
              <w:jc w:val="left"/>
            </w:pPr>
            <w:r>
              <w:t xml:space="preserve">Deceptive speech causing material harm</w:t>
            </w:r>
          </w:p>
        </w:tc>
        <w:tc>
          <w:tcPr/>
          <w:p>
            <w:pPr>
              <w:pStyle w:val="Compact"/>
              <w:jc w:val="left"/>
            </w:pPr>
            <w:r>
              <w:t xml:space="preserve">False advertising, investment scams</w:t>
            </w:r>
          </w:p>
        </w:tc>
      </w:tr>
      <w:tr>
        <w:tc>
          <w:tcPr/>
          <w:p>
            <w:pPr>
              <w:pStyle w:val="Compact"/>
              <w:jc w:val="left"/>
            </w:pPr>
            <w:r>
              <w:rPr>
                <w:bCs/>
                <w:b/>
              </w:rPr>
              <w:t xml:space="preserve">Obscenity</w:t>
            </w:r>
          </w:p>
        </w:tc>
        <w:tc>
          <w:tcPr/>
          <w:p>
            <w:pPr>
              <w:pStyle w:val="Compact"/>
              <w:jc w:val="left"/>
            </w:pPr>
            <w:r>
              <w:t xml:space="preserve">Prurient, patently offensive, lacking serious value</w:t>
            </w:r>
          </w:p>
        </w:tc>
        <w:tc>
          <w:tcPr/>
          <w:p>
            <w:pPr>
              <w:pStyle w:val="Compact"/>
              <w:jc w:val="left"/>
            </w:pPr>
            <w:r>
              <w:t xml:space="preserve">Highly contested in practice</w:t>
            </w:r>
          </w:p>
        </w:tc>
      </w:tr>
      <w:tr>
        <w:tc>
          <w:tcPr/>
          <w:p>
            <w:pPr>
              <w:pStyle w:val="Compact"/>
              <w:jc w:val="left"/>
            </w:pPr>
            <w:r>
              <w:rPr>
                <w:bCs/>
                <w:b/>
              </w:rPr>
              <w:t xml:space="preserve">Fighting words</w:t>
            </w:r>
          </w:p>
        </w:tc>
        <w:tc>
          <w:tcPr/>
          <w:p>
            <w:pPr>
              <w:pStyle w:val="Compact"/>
              <w:jc w:val="left"/>
            </w:pPr>
            <w:r>
              <w:t xml:space="preserve">Direct provocations likely to cause immediate breach of peace</w:t>
            </w:r>
          </w:p>
        </w:tc>
        <w:tc>
          <w:tcPr/>
          <w:p>
            <w:pPr>
              <w:pStyle w:val="Compact"/>
              <w:jc w:val="left"/>
            </w:pPr>
            <w:r>
              <w:t xml:space="preserve">Face-to-face epithets meant to provoke</w:t>
            </w:r>
          </w:p>
        </w:tc>
      </w:tr>
    </w:tbl>
    <w:p>
      <w:pPr>
        <w:pStyle w:val="BodyText"/>
      </w:pPr>
      <w:r>
        <w:t xml:space="preserve">Notice what these categories have in common. Each one identifies a harm that is fairly concrete — a person attacked, a reputation destroyed, money taken by deception — rather than an idea that offends. That is Mill's harm principle doing legal work: American doctrine restricts speech for what it</w:t>
      </w:r>
      <w:r>
        <w:t xml:space="preserve"> </w:t>
      </w:r>
      <w:r>
        <w:rPr>
          <w:iCs/>
          <w:i/>
        </w:rPr>
        <w:t xml:space="preserve">does</w:t>
      </w:r>
      <w:r>
        <w:t xml:space="preserve"> </w:t>
      </w:r>
      <w:r>
        <w:t xml:space="preserve">to identifiable people, not for what it says. Notice also what is missing. There is no general category for lies, for cruelty, or for hatred as such, which is exactly where American law parts company with most of the democratic world.</w:t>
      </w:r>
    </w:p>
    <w:p>
      <w:pPr>
        <w:pStyle w:val="BoxLabel"/>
      </w:pPr>
      <w:r>
        <w:t xml:space="preserve">Thought Questions</w:t>
      </w:r>
    </w:p>
    <w:p>
      <w:pPr>
        <w:numPr>
          <w:ilvl w:val="0"/>
          <w:numId w:val="1008"/>
        </w:numPr>
        <w:pStyle w:val="Compact"/>
      </w:pPr>
      <w:r>
        <w:t xml:space="preserve">Are these six categories principled, or are they historical accidents that a different legal tradition would have carved up differently? Which one seems least defensible to you?</w:t>
      </w:r>
    </w:p>
    <w:p>
      <w:pPr>
        <w:numPr>
          <w:ilvl w:val="0"/>
          <w:numId w:val="1008"/>
        </w:numPr>
        <w:pStyle w:val="Compact"/>
      </w:pPr>
      <w:r>
        <w:rPr>
          <w:iCs/>
          <w:i/>
        </w:rPr>
        <w:t xml:space="preserve">Brandenburg</w:t>
      </w:r>
      <w:r>
        <w:t xml:space="preserve"> </w:t>
      </w:r>
      <w:r>
        <w:t xml:space="preserve">requires that incitement be aimed at</w:t>
      </w:r>
      <w:r>
        <w:t xml:space="preserve"> </w:t>
      </w:r>
      <w:r>
        <w:rPr>
          <w:iCs/>
          <w:i/>
        </w:rPr>
        <w:t xml:space="preserve">imminent</w:t>
      </w:r>
      <w:r>
        <w:t xml:space="preserve"> </w:t>
      </w:r>
      <w:r>
        <w:t xml:space="preserve">lawless action. Does "imminent" still mean anything when a post can reach millions of people over months and radicalize a reader you will never meet?</w:t>
      </w:r>
    </w:p>
    <w:p>
      <w:pPr>
        <w:numPr>
          <w:ilvl w:val="0"/>
          <w:numId w:val="1008"/>
        </w:numPr>
        <w:pStyle w:val="Compact"/>
      </w:pPr>
      <w:r>
        <w:t xml:space="preserve">Mill's corn dealer example turns on context rather than content. What is the online equivalent of an angry mob outside a corn dealer's house — and is there one?</w:t>
      </w:r>
    </w:p>
    <w:bookmarkEnd w:id="45"/>
    <w:bookmarkStart w:id="46" w:name="the-hate-speech-controversy"/>
    <w:p>
      <w:pPr>
        <w:pStyle w:val="Heading3"/>
      </w:pPr>
      <w:r>
        <w:t xml:space="preserve">The Hate Speech Controversy</w:t>
      </w:r>
    </w:p>
    <w:p>
      <w:pPr>
        <w:pStyle w:val="FirstParagraph"/>
      </w:pPr>
      <w:r>
        <w:t xml:space="preserve">One of the most contested questions in free speech law — and one where the United States is nearly unique among liberal democracies — is whether</w:t>
      </w:r>
      <w:r>
        <w:t xml:space="preserve"> </w:t>
      </w:r>
      <w:r>
        <w:rPr>
          <w:bCs/>
          <w:b/>
        </w:rPr>
        <w:t xml:space="preserve">hate speech</w:t>
      </w:r>
      <w:r>
        <w:t xml:space="preserve"> </w:t>
      </w:r>
      <w:r>
        <w:t xml:space="preserve">should receive constitutional protection. Most European countries, Canada, Australia, and many others have laws restricting speech that targets racial, ethnic, religious, or other protected groups with sufficient hostility to constitute incitement to discrimination or violence. The United States does not, treating hate speech as generally protected unless it falls into one of the existing categories above (incitement, true threats, etc.).</w:t>
      </w:r>
    </w:p>
    <w:p>
      <w:pPr>
        <w:pStyle w:val="BodyText"/>
      </w:pPr>
      <w:r>
        <w:t xml:space="preserve">The arguments for hate speech restrictions emphasize that such speech causes real psychological harm to its targets, systematically silences members of vulnerable groups who face ongoing harassment, and undermines the equal citizenship necessary for meaningful democratic participation. Historical examples — Nazi propaganda before the Holocaust, Rwandan radio broadcasts before the genocide — suggest that hateful speech can contribute causally to mass atrocities. From a Millian perspective, hate speech critics argue that the harm principle should cover these serious harms.</w:t>
      </w:r>
    </w:p>
    <w:p>
      <w:pPr>
        <w:pStyle w:val="BodyText"/>
      </w:pPr>
      <w:r>
        <w:t xml:space="preserve">The arguments against hate speech restrictions emphasize the definitional problem: who decides what counts as "hate"? The history of speech restrictions shows that they are often weaponized against the very groups they purport to protect — obscenity laws were used for decades against gay and lesbian publications, most famously when the U.S. Post Office banned the magazine</w:t>
      </w:r>
      <w:r>
        <w:t xml:space="preserve"> </w:t>
      </w:r>
      <w:r>
        <w:rPr>
          <w:iCs/>
          <w:i/>
        </w:rPr>
        <w:t xml:space="preserve">ONE</w:t>
      </w:r>
      <w:r>
        <w:t xml:space="preserve"> </w:t>
      </w:r>
      <w:r>
        <w:t xml:space="preserve">as obscene in 1954, a ruling the Supreme Court reversed only in 1958; campus speech codes in the 1990s were repeatedly struck down as vague or overbroad. Critics also worry about chilling effects: vague restrictions cause people to self-censor well-intentioned speech rather than risk prosecution. And they invoke Mill's own counter-argument: the remedy for bad speech is</w:t>
      </w:r>
      <w:r>
        <w:t xml:space="preserve"> </w:t>
      </w:r>
      <w:r>
        <w:rPr>
          <w:iCs/>
          <w:i/>
        </w:rPr>
        <w:t xml:space="preserve">more speech</w:t>
      </w:r>
      <w:r>
        <w:t xml:space="preserve">, not enforced silence.</w:t>
      </w:r>
    </w:p>
    <w:bookmarkEnd w:id="46"/>
    <w:bookmarkStart w:id="47" w:name="catharine-mackinnon-b.-1946"/>
    <w:p>
      <w:pPr>
        <w:pStyle w:val="Heading3"/>
      </w:pPr>
      <w:r>
        <w:t xml:space="preserve">Catharine MacKinnon (b. 1946)</w:t>
      </w:r>
    </w:p>
    <w:p>
      <w:pPr>
        <w:pStyle w:val="KeyThinker"/>
      </w:pPr>
      <w:r>
        <w:t xml:space="preserve">American feminist legal scholar and activist, MacKinnon is the most influential critic of the Millian framework from a feminist perspective</w:t>
      </w:r>
      <w:r>
        <w:t xml:space="preserve"> </w:t>
      </w:r>
      <w:r>
        <w:t xml:space="preserve">(MacKinnon, 1993)</w:t>
      </w:r>
      <w:r>
        <w:t xml:space="preserve">. Her work on sexual harassment established the legal theory that unwanted sexual conduct in the workplace constitutes sex discrimination under Title VII — a framework now widely accepted in law. Her subsequent work on pornography argues that much of it constitutes a form of sex discrimination that silences women by contributing to their subordination.</w:t>
      </w:r>
    </w:p>
    <w:p>
      <w:pPr>
        <w:pStyle w:val="KeyThinker"/>
      </w:pPr>
      <w:r>
        <w:t xml:space="preserve">MacKinnon challenges the liberal assumption that the free marketplace of ideas is neutral between speakers. When speech systematically subordinates a group and deprives them of credibility and voice, protecting that speech in the name of "free expression" effectively protects the powerful at the expense of the marginalized. Her work has been deeply controversial but has fundamentally reshaped how scholars think about the relationship between free speech and equality.</w:t>
      </w:r>
    </w:p>
    <w:bookmarkEnd w:id="47"/>
    <w:bookmarkStart w:id="49" w:name="the-silencing-argument"/>
    <w:p>
      <w:pPr>
        <w:pStyle w:val="Heading3"/>
      </w:pPr>
      <w:r>
        <w:t xml:space="preserve">The Silencing Argument</w:t>
      </w:r>
    </w:p>
    <w:bookmarkStart w:id="48" w:name="X22e0b0d46c67f61d1be51bfdb151aeb2fde2b8a"/>
    <w:p>
      <w:pPr>
        <w:pStyle w:val="Heading4"/>
      </w:pPr>
      <w:r>
        <w:t xml:space="preserve">Argument 3: The Argument from Equal Speech</w:t>
      </w:r>
    </w:p>
    <w:p>
      <w:pPr>
        <w:numPr>
          <w:ilvl w:val="0"/>
          <w:numId w:val="1009"/>
        </w:numPr>
        <w:pStyle w:val="Compact"/>
      </w:pPr>
      <w:r>
        <w:t xml:space="preserve">The purpose of free speech protections is to ensure all persons can participate meaningfully in public discourse.</w:t>
      </w:r>
    </w:p>
    <w:p>
      <w:pPr>
        <w:numPr>
          <w:ilvl w:val="0"/>
          <w:numId w:val="1009"/>
        </w:numPr>
        <w:pStyle w:val="Compact"/>
      </w:pPr>
      <w:r>
        <w:t xml:space="preserve">Some forms of speech — systematic harassment, hate speech, silencing speech — drive targeted groups out of public discourse.</w:t>
      </w:r>
    </w:p>
    <w:p>
      <w:pPr>
        <w:numPr>
          <w:ilvl w:val="0"/>
          <w:numId w:val="1009"/>
        </w:numPr>
        <w:pStyle w:val="Compact"/>
      </w:pPr>
      <w:r>
        <w:t xml:space="preserve">Tolerating speech that silences others undermines the very purpose of free speech protections.</w:t>
      </w:r>
    </w:p>
    <w:p>
      <w:pPr>
        <w:numPr>
          <w:ilvl w:val="0"/>
          <w:numId w:val="1009"/>
        </w:numPr>
        <w:pStyle w:val="Compact"/>
      </w:pPr>
      <w:r>
        <w:rPr>
          <w:bCs/>
          <w:b/>
        </w:rPr>
        <w:t xml:space="preserve">C. Therefore, restricting silencing speech can be justified</w:t>
      </w:r>
      <w:r>
        <w:rPr>
          <w:bCs/>
          <w:b/>
        </w:rPr>
        <w:t xml:space="preserve"> </w:t>
      </w:r>
      <w:r>
        <w:rPr>
          <w:iCs/>
          <w:i/>
          <w:bCs/>
          <w:b/>
        </w:rPr>
        <w:t xml:space="preserve">on free speech grounds</w:t>
      </w:r>
      <w:r>
        <w:rPr>
          <w:bCs/>
          <w:b/>
        </w:rPr>
        <w:t xml:space="preserve">.</w:t>
      </w:r>
    </w:p>
    <w:bookmarkEnd w:id="48"/>
    <w:p>
      <w:pPr>
        <w:pStyle w:val="FirstParagraph"/>
      </w:pPr>
      <w:r>
        <w:t xml:space="preserve">The silencing argument, developed by MacKinnon</w:t>
      </w:r>
      <w:r>
        <w:t xml:space="preserve"> </w:t>
      </w:r>
      <w:r>
        <w:t xml:space="preserve">(MacKinnon, 1993)</w:t>
      </w:r>
      <w:r>
        <w:t xml:space="preserve">, Mari Matsuda</w:t>
      </w:r>
      <w:r>
        <w:t xml:space="preserve"> </w:t>
      </w:r>
      <w:r>
        <w:t xml:space="preserve">(Matsuda et al., 1993)</w:t>
      </w:r>
      <w:r>
        <w:t xml:space="preserve">, and Jeremy Waldron</w:t>
      </w:r>
      <w:r>
        <w:t xml:space="preserve"> </w:t>
      </w:r>
      <w:r>
        <w:t xml:space="preserve">(Waldron, 2012)</w:t>
      </w:r>
      <w:r>
        <w:t xml:space="preserve">, aims to turn Mill's own logic against his conclusions. The point of free speech protections, they argue, is not speech itself — it is the democratic and epistemic goods that speech produces: truth-seeking, self-government, human flourishing. If some speech systematically prevents vulnerable groups from participating in these processes, then a consistent commitment to those underlying values may require restricting that speech. The irony is structural: protecting free speech may, in specific cases, require restricting some speech.</w:t>
      </w:r>
    </w:p>
    <w:p>
      <w:pPr>
        <w:pStyle w:val="BodyText"/>
      </w:pPr>
      <w:r>
        <w:t xml:space="preserve">A few concrete examples help illustrate why the silencing dynamic matters in practice.</w:t>
      </w:r>
      <w:r>
        <w:t xml:space="preserve"> </w:t>
      </w:r>
      <w:r>
        <w:t xml:space="preserve">Research on online harassment has documented that:</w:t>
      </w:r>
    </w:p>
    <w:p>
      <w:pPr>
        <w:numPr>
          <w:ilvl w:val="0"/>
          <w:numId w:val="1010"/>
        </w:numPr>
        <w:pStyle w:val="Compact"/>
      </w:pPr>
      <w:r>
        <w:t xml:space="preserve">Amnesty International's 2018 "Troll Patrol" study, in which volunteers hand-labelled 288,000 tweets sent to 778 women journalists and politicians in the United Kingdom and the United States and machine learning extrapolated the result to all 14.5 million tweets mentioning them, estimated that 7.1% were abusive or otherwise problematic — about 1.1 million tweets, or one every thirty seconds across the year. Black women in the sample were 84% more likely than white women to be mentioned in such tweets</w:t>
      </w:r>
      <w:r>
        <w:t xml:space="preserve"> </w:t>
      </w:r>
      <w:r>
        <w:t xml:space="preserve">(Amnesty International, 2018)</w:t>
      </w:r>
      <w:r>
        <w:t xml:space="preserve">.</w:t>
      </w:r>
    </w:p>
    <w:p>
      <w:pPr>
        <w:numPr>
          <w:ilvl w:val="0"/>
          <w:numId w:val="1010"/>
        </w:numPr>
        <w:pStyle w:val="Compact"/>
      </w:pPr>
      <w:r>
        <w:t xml:space="preserve">Survey research on LGBTQ+ young people consistently finds that a substantial share conceal their identities online after experiencing targeted harassment. They technically retain the right to speak, but choose silence as a matter of safety — which is precisely the outcome the silencing argument predicts.</w:t>
      </w:r>
    </w:p>
    <w:p>
      <w:pPr>
        <w:numPr>
          <w:ilvl w:val="0"/>
          <w:numId w:val="1010"/>
        </w:numPr>
        <w:pStyle w:val="Compact"/>
      </w:pPr>
      <w:r>
        <w:t xml:space="preserve">Wikipedia, despite being one of the internet's most open knowledge platforms, has a long-documented gender gap: editor surveys have consistently put the contributor base at roughly 80–90% male, and harassment of women editors is a frequently cited contributing factor.</w:t>
      </w:r>
    </w:p>
    <w:p>
      <w:pPr>
        <w:pStyle w:val="FirstParagraph"/>
      </w:pPr>
      <w:r>
        <w:t xml:space="preserve">These examples do not settle the debate, but they give it urgency. If certain speakers</w:t>
      </w:r>
      <w:r>
        <w:t xml:space="preserve"> </w:t>
      </w:r>
      <w:r>
        <w:t xml:space="preserve">are systematically driven from public discourse by harassment, the marketplace of ideas</w:t>
      </w:r>
      <w:r>
        <w:t xml:space="preserve"> </w:t>
      </w:r>
      <w:r>
        <w:t xml:space="preserve">is not operating as Mill envisioned it — with all voices able to participate on equal</w:t>
      </w:r>
      <w:r>
        <w:t xml:space="preserve"> </w:t>
      </w:r>
      <w:r>
        <w:t xml:space="preserve">terms.</w:t>
      </w:r>
    </w:p>
    <w:bookmarkEnd w:id="49"/>
    <w:bookmarkStart w:id="50" w:name="mari-matsuda-b.-1956"/>
    <w:p>
      <w:pPr>
        <w:pStyle w:val="Heading3"/>
      </w:pPr>
      <w:r>
        <w:t xml:space="preserve">Mari Matsuda (b. 1956)</w:t>
      </w:r>
    </w:p>
    <w:p>
      <w:pPr>
        <w:pStyle w:val="KeyThinker"/>
      </w:pPr>
      <w:r>
        <w:t xml:space="preserve">American legal scholar and one of the founders of Critical Race Theory, Matsuda's work focuses on the intersection of race, law, and social justice</w:t>
      </w:r>
      <w:r>
        <w:t xml:space="preserve"> </w:t>
      </w:r>
      <w:r>
        <w:t xml:space="preserve">(Matsuda et al., 1993)</w:t>
      </w:r>
      <w:r>
        <w:t xml:space="preserve">. In her analysis of hate speech, she argues from the perspective of those targeted by racist speech — a standpoint she calls "looking to the bottom" — and contends that their concrete experiences of silencing and subordination must anchor any adequate theory of free expression. She argues for hate speech restrictions that are carefully targeted at the most virulent forms of racist speech, while preserving broad protections for political and artistic expression.</w:t>
      </w:r>
    </w:p>
    <w:bookmarkEnd w:id="50"/>
    <w:bookmarkStart w:id="51" w:name="jeremy-waldron-b.-1953"/>
    <w:p>
      <w:pPr>
        <w:pStyle w:val="Heading3"/>
      </w:pPr>
      <w:r>
        <w:t xml:space="preserve">Jeremy Waldron (b. 1953)</w:t>
      </w:r>
    </w:p>
    <w:p>
      <w:pPr>
        <w:pStyle w:val="KeyThinker"/>
      </w:pPr>
      <w:r>
        <w:t xml:space="preserve">New Zealand-born legal and political philosopher, Waldron offers perhaps the most philosophically rigorous defense of hate speech laws from a liberal perspective</w:t>
      </w:r>
      <w:r>
        <w:t xml:space="preserve"> </w:t>
      </w:r>
      <w:r>
        <w:t xml:space="preserve">(Waldron, 2012)</w:t>
      </w:r>
      <w:r>
        <w:t xml:space="preserve">. He argues that what hate speech primarily attacks is not feelings or sensibilities but something more fundamental: the social standing of targeted individuals as equal members of society. Hate speech, on his analysis, is a sustained attempt to create a public environment in which members of certain groups are portrayed as less than fully human or fully deserving of equal dignity. Protecting people from this kind of dignitary harm, Waldron argues, is consistent with and required by the liberal commitment to equal citizenship.</w:t>
      </w:r>
    </w:p>
    <w:bookmarkEnd w:id="51"/>
    <w:bookmarkStart w:id="52" w:name="X9205d378d99f866304bc1fc02a638d370e06d00"/>
    <w:p>
      <w:pPr>
        <w:pStyle w:val="Heading4"/>
      </w:pPr>
      <w:r>
        <w:t xml:space="preserve">Objection: Counter-Speech Is the Better Remedy</w:t>
      </w:r>
    </w:p>
    <w:p>
      <w:pPr>
        <w:pStyle w:val="ArgumentBox"/>
      </w:pPr>
      <w:r>
        <w:t xml:space="preserve">The classical response to the silencing argument is Justice Louis Brandeis's dictum, from his concurrence in</w:t>
      </w:r>
      <w:r>
        <w:t xml:space="preserve"> </w:t>
      </w:r>
      <w:r>
        <w:rPr>
          <w:iCs/>
          <w:i/>
        </w:rPr>
        <w:t xml:space="preserve">Whitney v. California</w:t>
      </w:r>
      <w:r>
        <w:t xml:space="preserve"> </w:t>
      </w:r>
      <w:r>
        <w:t xml:space="preserve">(1927)</w:t>
      </w:r>
      <w:r>
        <w:t xml:space="preserve"> </w:t>
      </w:r>
      <w:r>
        <w:t xml:space="preserve">(Whitney v. California, 1927)</w:t>
      </w:r>
      <w:r>
        <w:t xml:space="preserve">: "If there be time to expose through discussion the falsehood and fallacies, to avert the evil by the processes of education, the remedy to be applied is more speech, not enforced silence." On this view, restricting hateful speech is both ineffective (it drives views underground) and dangerous (it creates a censorship apparatus that can be turned against anyone). The better path is to amplify the voices of targeted groups, educate the public, and strengthen civic norms that discourage hateful expression — not to give governments power to define which ideas are too dangerous to express.</w:t>
      </w:r>
    </w:p>
    <w:bookmarkEnd w:id="52"/>
    <w:p>
      <w:pPr>
        <w:pStyle w:val="BoxLabel"/>
      </w:pPr>
      <w:r>
        <w:t xml:space="preserve">Thought Questions</w:t>
      </w:r>
    </w:p>
    <w:p>
      <w:pPr>
        <w:numPr>
          <w:ilvl w:val="0"/>
          <w:numId w:val="1011"/>
        </w:numPr>
        <w:pStyle w:val="Compact"/>
      </w:pPr>
      <w:r>
        <w:t xml:space="preserve">The U.S. generally protects hate speech; most other liberal democracies do not. Which approach do you find more defensible, and why?</w:t>
      </w:r>
    </w:p>
    <w:p>
      <w:pPr>
        <w:numPr>
          <w:ilvl w:val="0"/>
          <w:numId w:val="1011"/>
        </w:numPr>
        <w:pStyle w:val="Compact"/>
      </w:pPr>
      <w:r>
        <w:t xml:space="preserve">Does the silencing argument succeed in turning Mill's logic against itself? Or does it prove too much — potentially justifying restrictions on any speech that someone claims makes them less likely to participate in debate?</w:t>
      </w:r>
    </w:p>
    <w:p>
      <w:pPr>
        <w:numPr>
          <w:ilvl w:val="0"/>
          <w:numId w:val="1011"/>
        </w:numPr>
        <w:pStyle w:val="Compact"/>
      </w:pPr>
      <w:r>
        <w:t xml:space="preserve">Who should have the authority to decide what counts as "silencing" speech? Government courts? Platform moderators? Affected communities? Does it matter who decides?</w:t>
      </w:r>
    </w:p>
    <w:bookmarkEnd w:id="53"/>
    <w:bookmarkEnd w:id="54"/>
    <w:bookmarkStart w:id="59" w:name="history"/>
    <w:bookmarkStart w:id="58" w:name="history-heading"/>
    <w:p>
      <w:pPr>
        <w:pStyle w:val="Heading2"/>
      </w:pPr>
      <w:r>
        <w:t xml:space="preserve">Historical Applications: Broadcast to Internet</w:t>
      </w:r>
    </w:p>
    <w:p>
      <w:pPr>
        <w:pStyle w:val="FirstParagraph"/>
      </w:pPr>
      <w:r>
        <w:t xml:space="preserve">Every major communication technology has triggered a new round of free speech controversies, requiring societies to work out how Mill's abstract principles translate into concrete regulation. The broadcast era offers the most instructive historical case, because it shows both what principled content regulation can look like and what happens when it disappears.</w:t>
      </w:r>
    </w:p>
    <w:p>
      <w:pPr>
        <w:pStyle w:val="TableCaption"/>
      </w:pPr>
      <w:r>
        <w:t xml:space="preserve">Table 3.4 — Communication Technologies and Free Speech Challenges</w:t>
      </w:r>
    </w:p>
    <w:tbl>
      <w:tblPr>
        <w:tblStyle w:val="Table"/>
        <w:tblW w:type="auto" w:w="0"/>
        <w:tblLook w:firstRow="1" w:lastRow="0" w:firstColumn="0" w:lastColumn="0" w:noHBand="0" w:noVBand="0" w:val="0020"/>
        <w:jc w:val="start"/>
        <w:tblCaption w:val="Table 3.4 — Communication Technologies and Free Speech Challenges"/>
      </w:tblPr>
      <w:tblGrid>
        <w:gridCol w:w="1980"/>
        <w:gridCol w:w="1980"/>
        <w:gridCol w:w="1980"/>
        <w:gridCol w:w="1980"/>
      </w:tblGrid>
      <w:tr>
        <w:trPr>
          <w:tblHeader w:val="true"/>
        </w:trPr>
        <w:tc>
          <w:tcPr/>
          <w:p>
            <w:pPr>
              <w:pStyle w:val="Compact"/>
              <w:jc w:val="left"/>
            </w:pPr>
            <w:r>
              <w:t xml:space="preserve">Technology</w:t>
            </w:r>
          </w:p>
        </w:tc>
        <w:tc>
          <w:tcPr/>
          <w:p>
            <w:pPr>
              <w:pStyle w:val="Compact"/>
              <w:jc w:val="left"/>
            </w:pPr>
            <w:r>
              <w:t xml:space="preserve">Era</w:t>
            </w:r>
          </w:p>
        </w:tc>
        <w:tc>
          <w:tcPr/>
          <w:p>
            <w:pPr>
              <w:pStyle w:val="Compact"/>
              <w:jc w:val="left"/>
            </w:pPr>
            <w:r>
              <w:t xml:space="preserve">Key Free Speech Challenge</w:t>
            </w:r>
          </w:p>
        </w:tc>
        <w:tc>
          <w:tcPr/>
          <w:p>
            <w:pPr>
              <w:pStyle w:val="Compact"/>
              <w:jc w:val="left"/>
            </w:pPr>
            <w:r>
              <w:t xml:space="preserve">Response</w:t>
            </w:r>
          </w:p>
        </w:tc>
      </w:tr>
      <w:tr>
        <w:tc>
          <w:tcPr/>
          <w:p>
            <w:pPr>
              <w:pStyle w:val="Compact"/>
              <w:jc w:val="left"/>
            </w:pPr>
            <w:r>
              <w:t xml:space="preserve">Printing press</w:t>
            </w:r>
          </w:p>
        </w:tc>
        <w:tc>
          <w:tcPr/>
          <w:p>
            <w:pPr>
              <w:pStyle w:val="Compact"/>
              <w:jc w:val="left"/>
            </w:pPr>
            <w:r>
              <w:t xml:space="preserve">15th–17th c.</w:t>
            </w:r>
          </w:p>
        </w:tc>
        <w:tc>
          <w:tcPr/>
          <w:p>
            <w:pPr>
              <w:pStyle w:val="Compact"/>
              <w:jc w:val="left"/>
            </w:pPr>
            <w:r>
              <w:t xml:space="preserve">Unauthorized religious and political texts</w:t>
            </w:r>
          </w:p>
        </w:tc>
        <w:tc>
          <w:tcPr/>
          <w:p>
            <w:pPr>
              <w:pStyle w:val="Compact"/>
              <w:jc w:val="left"/>
            </w:pPr>
            <w:r>
              <w:t xml:space="preserve">Censorship, licensing requirements, sedition laws</w:t>
            </w:r>
          </w:p>
        </w:tc>
      </w:tr>
      <w:tr>
        <w:tc>
          <w:tcPr/>
          <w:p>
            <w:pPr>
              <w:pStyle w:val="Compact"/>
              <w:jc w:val="left"/>
            </w:pPr>
            <w:r>
              <w:t xml:space="preserve">Telegraph/telephone</w:t>
            </w:r>
          </w:p>
        </w:tc>
        <w:tc>
          <w:tcPr/>
          <w:p>
            <w:pPr>
              <w:pStyle w:val="Compact"/>
              <w:jc w:val="left"/>
            </w:pPr>
            <w:r>
              <w:t xml:space="preserve">19th c.</w:t>
            </w:r>
          </w:p>
        </w:tc>
        <w:tc>
          <w:tcPr/>
          <w:p>
            <w:pPr>
              <w:pStyle w:val="Compact"/>
              <w:jc w:val="left"/>
            </w:pPr>
            <w:r>
              <w:t xml:space="preserve">Private control of public communications infrastructure</w:t>
            </w:r>
          </w:p>
        </w:tc>
        <w:tc>
          <w:tcPr/>
          <w:p>
            <w:pPr>
              <w:pStyle w:val="Compact"/>
              <w:jc w:val="left"/>
            </w:pPr>
            <w:r>
              <w:t xml:space="preserve">Common carrier obligations: serve all customers equally</w:t>
            </w:r>
          </w:p>
        </w:tc>
      </w:tr>
      <w:tr>
        <w:tc>
          <w:tcPr/>
          <w:p>
            <w:pPr>
              <w:pStyle w:val="Compact"/>
              <w:jc w:val="left"/>
            </w:pPr>
            <w:r>
              <w:t xml:space="preserve">Radio/television</w:t>
            </w:r>
          </w:p>
        </w:tc>
        <w:tc>
          <w:tcPr/>
          <w:p>
            <w:pPr>
              <w:pStyle w:val="Compact"/>
              <w:jc w:val="left"/>
            </w:pPr>
            <w:r>
              <w:t xml:space="preserve">20th c.</w:t>
            </w:r>
          </w:p>
        </w:tc>
        <w:tc>
          <w:tcPr/>
          <w:p>
            <w:pPr>
              <w:pStyle w:val="Compact"/>
              <w:jc w:val="left"/>
            </w:pPr>
            <w:r>
              <w:t xml:space="preserve">Spectrum scarcity limits number of possible broadcasters</w:t>
            </w:r>
          </w:p>
        </w:tc>
        <w:tc>
          <w:tcPr/>
          <w:p>
            <w:pPr>
              <w:pStyle w:val="Compact"/>
              <w:jc w:val="left"/>
            </w:pPr>
            <w:r>
              <w:t xml:space="preserve">Government licensing, Fairness Doctrine (1949–1987)</w:t>
            </w:r>
          </w:p>
        </w:tc>
      </w:tr>
      <w:tr>
        <w:tc>
          <w:tcPr/>
          <w:p>
            <w:pPr>
              <w:pStyle w:val="Compact"/>
              <w:jc w:val="left"/>
            </w:pPr>
            <w:r>
              <w:t xml:space="preserve">Internet/social media</w:t>
            </w:r>
          </w:p>
        </w:tc>
        <w:tc>
          <w:tcPr/>
          <w:p>
            <w:pPr>
              <w:pStyle w:val="Compact"/>
              <w:jc w:val="left"/>
            </w:pPr>
            <w:r>
              <w:t xml:space="preserve">21st c.</w:t>
            </w:r>
          </w:p>
        </w:tc>
        <w:tc>
          <w:tcPr/>
          <w:p>
            <w:pPr>
              <w:pStyle w:val="Compact"/>
              <w:jc w:val="left"/>
            </w:pPr>
            <w:r>
              <w:t xml:space="preserve">Platform power, global reach, algorithmic amplification</w:t>
            </w:r>
          </w:p>
        </w:tc>
        <w:tc>
          <w:tcPr/>
          <w:p>
            <w:pPr>
              <w:pStyle w:val="Compact"/>
              <w:jc w:val="left"/>
            </w:pPr>
            <w:r>
              <w:t xml:space="preserve">Ongoing debate; Section 230, EU Digital Services Act</w:t>
            </w:r>
          </w:p>
        </w:tc>
      </w:tr>
    </w:tbl>
    <w:bookmarkStart w:id="57" w:name="X26b422ee8736dc0c1bca891ea1bc8bf8616f73c"/>
    <w:p>
      <w:pPr>
        <w:pStyle w:val="Heading3"/>
      </w:pPr>
      <w:r>
        <w:t xml:space="preserve">The Broadcast Era: Scarcity and Regulation</w:t>
      </w:r>
    </w:p>
    <w:p>
      <w:pPr>
        <w:pStyle w:val="FirstParagraph"/>
      </w:pPr>
      <w:r>
        <w:t xml:space="preserve">Radio and television presented an interesting structural challenge: the electromagnetic spectrum could only accommodate a limited number of simultaneous broadcasters without signals interfering with one another. Unlike a printing press — which anyone could theoretically own — a broadcast license was a scarce government grant, and whoever received one gained access to an enormous audience that competitors could not reach. This scarcity rationale became the constitutional foundation for broadcast content regulation that would be clearly unconstitutional if applied to print media.</w:t>
      </w:r>
    </w:p>
    <w:bookmarkStart w:id="55" w:name="X3c0c7f9f529f37cbc34ecbbdf8879d27ffc5695"/>
    <w:p>
      <w:pPr>
        <w:pStyle w:val="Heading4"/>
      </w:pPr>
      <w:r>
        <w:t xml:space="preserve">Case Study: The Fairness Doctrine (1949–1987)</w:t>
      </w:r>
    </w:p>
    <w:p>
      <w:pPr>
        <w:pStyle w:val="CaseStudy"/>
      </w:pPr>
      <w:r>
        <w:t xml:space="preserve">Established by the Federal Communications Commission in 1949, the Fairness Doctrine required broadcast license holders to cover "controversial issues of public importance" and to present contrasting viewpoints fairly. The underlying theory was Millian in spirit: because spectrum scarcity means the marketplace of ideas cannot operate freely in broadcasting, broadcasters who receive government licenses as "public trustees" must affirmatively present multiple perspectives rather than simply promoting their owners' views.</w:t>
      </w:r>
    </w:p>
    <w:p>
      <w:pPr>
        <w:pStyle w:val="CaseStudy"/>
      </w:pPr>
      <w:r>
        <w:t xml:space="preserve">The doctrine was contested from the start — broadcasters argued it infringed their editorial freedom — and the Supreme Court addressed its constitutionality in a landmark case.</w:t>
      </w:r>
    </w:p>
    <w:bookmarkEnd w:id="55"/>
    <w:bookmarkStart w:id="56" w:name="Xc6d7c7e3dacac1d124d4a2e2b80341d1741069a"/>
    <w:p>
      <w:pPr>
        <w:pStyle w:val="Heading4"/>
      </w:pPr>
      <w:r>
        <w:t xml:space="preserve">Case Study:</w:t>
      </w:r>
      <w:r>
        <w:t xml:space="preserve"> </w:t>
      </w:r>
      <w:r>
        <w:rPr>
          <w:iCs/>
          <w:i/>
        </w:rPr>
        <w:t xml:space="preserve">Red Lion Broadcasting Co. v. FCC</w:t>
      </w:r>
      <w:r>
        <w:t xml:space="preserve"> </w:t>
      </w:r>
      <w:r>
        <w:t xml:space="preserve">(1969)</w:t>
      </w:r>
    </w:p>
    <w:p>
      <w:pPr>
        <w:pStyle w:val="CaseStudy"/>
      </w:pPr>
      <w:r>
        <w:t xml:space="preserve">Red Lion Broadcasting aired a personal attack on a journalist named Fred Cook during a broadcast of a right-wing radio program. The FCC, invoking the Fairness Doctrine, ordered the station to provide Cook with free airtime to respond. Red Lion refused and challenged the FCC's authority. The Supreme Court unanimously upheld the Fairness Doctrine — 8–0, with Justice Douglas taking no part — ruling that the listeners' interest in receiving diverse viewpoints was paramount over the broadcaster's editorial preferences</w:t>
      </w:r>
      <w:r>
        <w:t xml:space="preserve"> </w:t>
      </w:r>
      <w:r>
        <w:t xml:space="preserve">(Red Lion Broadcasting Co. v. FCC, 1969)</w:t>
      </w:r>
      <w:r>
        <w:t xml:space="preserve">. The Court declared: "It is the right of the viewers and listeners, not the right of the broadcasters, which is paramount."</w:t>
      </w:r>
    </w:p>
    <w:p>
      <w:pPr>
        <w:pStyle w:val="CaseStudy"/>
      </w:pPr>
      <w:r>
        <w:t xml:space="preserve">This holding depended entirely on the scarcity rationale: because not everyone who wants to broadcast can do so, those who hold licenses have special obligations to serve the public interest. The Court explicitly noted that if the scarcity rationale were to change — if spectrum became abundant — the constitutional calculus might be different.</w:t>
      </w:r>
    </w:p>
    <w:bookmarkEnd w:id="56"/>
    <w:p>
      <w:pPr>
        <w:pStyle w:val="BodyText"/>
      </w:pPr>
      <w:r>
        <w:t xml:space="preserve">In 1987, the FCC under the Reagan administration eliminated the Fairness Doctrine, concluding that increasing numbers of cable channels meant spectrum scarcity was no longer a compelling rationale, and that the doctrine itself chilled speech by causing broadcasters to avoid controversial topics rather than risk fairness complaints. What followed is not in dispute: the rise of politically one-sided talk radio, the emergence of Fox News and MSNBC as openly partisan networks, and the erosion of the shared factual baseline that broadcast-era journalism had maintained. Whether the repeal</w:t>
      </w:r>
      <w:r>
        <w:t xml:space="preserve"> </w:t>
      </w:r>
      <w:r>
        <w:rPr>
          <w:iCs/>
          <w:i/>
        </w:rPr>
        <w:t xml:space="preserve">caused</w:t>
      </w:r>
      <w:r>
        <w:t xml:space="preserve"> </w:t>
      </w:r>
      <w:r>
        <w:t xml:space="preserve">that shift, or merely removed one obstacle to a fragmentation that cable and later the internet were driving anyway, is much harder to establish. Whether eliminating the Fairness Doctrine was a Millian triumph of deregulation or a policy mistake with serious democratic costs remains actively contested.</w:t>
      </w:r>
    </w:p>
    <w:p>
      <w:pPr>
        <w:pStyle w:val="BoxLabel"/>
      </w:pPr>
      <w:r>
        <w:t xml:space="preserve">Thought Questions</w:t>
      </w:r>
    </w:p>
    <w:p>
      <w:pPr>
        <w:numPr>
          <w:ilvl w:val="0"/>
          <w:numId w:val="1012"/>
        </w:numPr>
        <w:pStyle w:val="Compact"/>
      </w:pPr>
      <w:r>
        <w:t xml:space="preserve">The Fairness Doctrine required broadcasters to present multiple viewpoints. Would a similar requirement applied to social media platforms be a good idea? What objections would Mill raise?</w:t>
      </w:r>
    </w:p>
    <w:p>
      <w:pPr>
        <w:numPr>
          <w:ilvl w:val="0"/>
          <w:numId w:val="1012"/>
        </w:numPr>
        <w:pStyle w:val="Compact"/>
      </w:pPr>
      <w:r>
        <w:rPr>
          <w:iCs/>
          <w:i/>
        </w:rPr>
        <w:t xml:space="preserve">Red Lion</w:t>
      </w:r>
      <w:r>
        <w:t xml:space="preserve"> </w:t>
      </w:r>
      <w:r>
        <w:t xml:space="preserve">held that listeners' interests in hearing diverse views can outweigh broadcasters' editorial freedom. Does that principle apply to algorithmic platforms whose recommendations shape what billions of people see?</w:t>
      </w:r>
    </w:p>
    <w:p>
      <w:pPr>
        <w:numPr>
          <w:ilvl w:val="0"/>
          <w:numId w:val="1012"/>
        </w:numPr>
        <w:pStyle w:val="Compact"/>
      </w:pPr>
      <w:r>
        <w:t xml:space="preserve">The repeal of the Fairness Doctrine was followed by the rise of partisan media. Is that correlation evidence of causation, or are other factors responsible?</w:t>
      </w:r>
    </w:p>
    <w:bookmarkEnd w:id="57"/>
    <w:bookmarkEnd w:id="58"/>
    <w:bookmarkEnd w:id="59"/>
    <w:bookmarkStart w:id="72" w:name="social-media"/>
    <w:bookmarkStart w:id="71" w:name="social-media-heading"/>
    <w:p>
      <w:pPr>
        <w:pStyle w:val="Heading2"/>
      </w:pPr>
      <w:r>
        <w:t xml:space="preserve">Social Media Regulation</w:t>
      </w:r>
    </w:p>
    <w:p>
      <w:pPr>
        <w:pStyle w:val="FirstParagraph"/>
      </w:pPr>
      <w:r>
        <w:t xml:space="preserve">Social media platforms occupy a strange constitutional position: they are private entities with First Amendment rights of their own, yet they exercise public power over democratic discourse on a scale that no broadcaster ever approached. Working out how Mill's principles apply to this novel situation is one of the central policy challenges of our era.</w:t>
      </w:r>
    </w:p>
    <w:bookmarkStart w:id="60" w:name="argument-4-the-public-square-argument"/>
    <w:p>
      <w:pPr>
        <w:pStyle w:val="Heading3"/>
      </w:pPr>
      <w:r>
        <w:t xml:space="preserve">Argument 4: The Public Square Argument</w:t>
      </w:r>
    </w:p>
    <w:p>
      <w:pPr>
        <w:numPr>
          <w:ilvl w:val="0"/>
          <w:numId w:val="1013"/>
        </w:numPr>
        <w:pStyle w:val="Compact"/>
      </w:pPr>
      <w:r>
        <w:t xml:space="preserve">Meaningful free speech requires access to forums where public discourse actually occurs.</w:t>
      </w:r>
    </w:p>
    <w:p>
      <w:pPr>
        <w:numPr>
          <w:ilvl w:val="0"/>
          <w:numId w:val="1013"/>
        </w:numPr>
        <w:pStyle w:val="Compact"/>
      </w:pPr>
      <w:r>
        <w:t xml:space="preserve">Social media platforms have become the primary forums for public discourse in democratic societies.</w:t>
      </w:r>
    </w:p>
    <w:p>
      <w:pPr>
        <w:numPr>
          <w:ilvl w:val="0"/>
          <w:numId w:val="1013"/>
        </w:numPr>
        <w:pStyle w:val="Compact"/>
      </w:pPr>
      <w:r>
        <w:t xml:space="preserve">Private corporate control of these forums allows arbitrary exclusion from democratic participation.</w:t>
      </w:r>
    </w:p>
    <w:p>
      <w:pPr>
        <w:numPr>
          <w:ilvl w:val="0"/>
          <w:numId w:val="1013"/>
        </w:numPr>
        <w:pStyle w:val="Compact"/>
      </w:pPr>
      <w:r>
        <w:rPr>
          <w:bCs/>
          <w:b/>
        </w:rPr>
        <w:t xml:space="preserve">C. Therefore, platforms should be subject to public regulation or public-interest obligations.</w:t>
      </w:r>
    </w:p>
    <w:bookmarkEnd w:id="60"/>
    <w:p>
      <w:pPr>
        <w:pStyle w:val="FirstParagraph"/>
      </w:pPr>
      <w:r>
        <w:t xml:space="preserve">The argument's second premise has some judicial support. In</w:t>
      </w:r>
      <w:r>
        <w:t xml:space="preserve"> </w:t>
      </w:r>
      <w:r>
        <w:rPr>
          <w:iCs/>
          <w:i/>
        </w:rPr>
        <w:t xml:space="preserve">Packingham v. North Carolina</w:t>
      </w:r>
      <w:r>
        <w:t xml:space="preserve"> </w:t>
      </w:r>
      <w:r>
        <w:t xml:space="preserve">(2017)</w:t>
      </w:r>
      <w:r>
        <w:t xml:space="preserve"> </w:t>
      </w:r>
      <w:r>
        <w:t xml:space="preserve">(Packingham v. North Carolina, 2017)</w:t>
      </w:r>
      <w:r>
        <w:t xml:space="preserve">, the Supreme Court struck down a state law barring registered sex offenders from social media, and Justice Kennedy wrote for the Court that such a law "bars access to what for many are the principal sources for knowing current events, checking ads for employment, speaking and listening in the modern public square." That phrase — the modern public square — has been quoted ever since by people who want platforms treated as quasi-public infrastructure. But</w:t>
      </w:r>
      <w:r>
        <w:t xml:space="preserve"> </w:t>
      </w:r>
      <w:r>
        <w:rPr>
          <w:iCs/>
          <w:i/>
        </w:rPr>
        <w:t xml:space="preserve">Packingham</w:t>
      </w:r>
      <w:r>
        <w:t xml:space="preserve"> </w:t>
      </w:r>
      <w:r>
        <w:t xml:space="preserve">struck down a</w:t>
      </w:r>
      <w:r>
        <w:t xml:space="preserve"> </w:t>
      </w:r>
      <w:r>
        <w:rPr>
          <w:iCs/>
          <w:i/>
        </w:rPr>
        <w:t xml:space="preserve">government</w:t>
      </w:r>
      <w:r>
        <w:t xml:space="preserve"> </w:t>
      </w:r>
      <w:r>
        <w:t xml:space="preserve">restriction; it did not hold that platforms themselves are bound by the First Amendment, and the analogy does more work in political rhetoric than it does in law.</w:t>
      </w:r>
    </w:p>
    <w:p>
      <w:pPr>
        <w:pStyle w:val="BodyText"/>
      </w:pPr>
      <w:r>
        <w:t xml:space="preserve">The Court came closer to the real question in</w:t>
      </w:r>
      <w:r>
        <w:t xml:space="preserve"> </w:t>
      </w:r>
      <w:r>
        <w:rPr>
          <w:iCs/>
          <w:i/>
        </w:rPr>
        <w:t xml:space="preserve">Moody v. NetChoice</w:t>
      </w:r>
      <w:r>
        <w:t xml:space="preserve"> </w:t>
      </w:r>
      <w:r>
        <w:t xml:space="preserve">(2024)</w:t>
      </w:r>
      <w:r>
        <w:t xml:space="preserve"> </w:t>
      </w:r>
      <w:r>
        <w:t xml:space="preserve">(Moody v. NetChoice, LLC, 2024)</w:t>
      </w:r>
      <w:r>
        <w:t xml:space="preserve">, which considered Florida and Texas laws limiting how large platforms may moderate user content. The Court vacated both lower-court judgments on procedural grounds — neither court had properly analyzed a facial challenge — so nothing was finally settled. Yet Justice Kagan's majority opinion was clear about the underlying principle: when a platform curates a feed, deciding what to carry and how to arrange it, that is expressive activity of the same general kind as a newspaper's editorial judgment, and the government cannot simply commandeer it. Anyone who wants to build the Public Square Argument into actual policy has to get past that point.</w:t>
      </w:r>
    </w:p>
    <w:bookmarkStart w:id="64" w:name="the-platform-dilemma"/>
    <w:p>
      <w:pPr>
        <w:pStyle w:val="Heading3"/>
      </w:pPr>
      <w:r>
        <w:t xml:space="preserve">The Platform Dilemma</w:t>
      </w:r>
    </w:p>
    <w:p>
      <w:pPr>
        <w:pStyle w:val="FirstParagraph"/>
      </w:pPr>
      <w:r>
        <w:t xml:space="preserve">Policymakers who consider regulating platforms run into a structural dilemma that has no clean resolution within Mill's original framework.</w:t>
      </w:r>
    </w:p>
    <w:p>
      <w:pPr>
        <w:pStyle w:val="CaptionedFigure"/>
      </w:pPr>
      <w:r>
        <w:drawing>
          <wp:inline>
            <wp:extent cx="5334000" cy="1258798"/>
            <wp:effectExtent b="0" l="0" r="0" t="0"/>
            <wp:docPr descr="Diagram 2" title="" id="62" name="Picture"/>
            <a:graphic>
              <a:graphicData uri="http://schemas.openxmlformats.org/drawingml/2006/picture">
                <pic:pic>
                  <pic:nvPicPr>
                    <pic:cNvPr descr="/tmp/docx-build-87TwSJ/ch03_free_speech-diagrams/diag_1.png" id="63" name="Picture"/>
                    <pic:cNvPicPr>
                      <a:picLocks noChangeArrowheads="1" noChangeAspect="1"/>
                    </pic:cNvPicPr>
                  </pic:nvPicPr>
                  <pic:blipFill>
                    <a:blip r:embed="rId61"/>
                    <a:stretch>
                      <a:fillRect/>
                    </a:stretch>
                  </pic:blipFill>
                  <pic:spPr bwMode="auto">
                    <a:xfrm>
                      <a:off x="0" y="0"/>
                      <a:ext cx="5334000" cy="1258798"/>
                    </a:xfrm>
                    <a:prstGeom prst="rect">
                      <a:avLst/>
                    </a:prstGeom>
                    <a:noFill/>
                    <a:ln w="9525">
                      <a:noFill/>
                      <a:headEnd/>
                      <a:tailEnd/>
                    </a:ln>
                  </pic:spPr>
                </pic:pic>
              </a:graphicData>
            </a:graphic>
          </wp:inline>
        </w:drawing>
      </w:r>
    </w:p>
    <w:p>
      <w:pPr>
        <w:pStyle w:val="ImageCaption"/>
      </w:pPr>
      <w:r>
        <w:t xml:space="preserve">Figure 3.2 — The platform regulation dilemma. Regulating platforms risks giving governments control over online speech; leaving them unregulated allows private corporations to exercise similar control without democratic accountability. Neither path cleanly preserves the conditions Mill's framework requires.</w:t>
      </w:r>
    </w:p>
    <w:p>
      <w:pPr>
        <w:pStyle w:val="BodyText"/>
      </w:pPr>
      <w:r>
        <w:t xml:space="preserve">If governments regulate what platforms may and may not say, they risk creating government-controlled speech codes — the very thing the First Amendment is designed to prevent. If platforms are left entirely to self-regulate, private corporations with no democratic accountability and no constitutional obligations exercise government-like power over democratic discourse. Neither option is straightforwardly Millian, because Mill's framework was designed around a government-as-censor threat that private platforms partially replace and partially transform.</w:t>
      </w:r>
    </w:p>
    <w:bookmarkEnd w:id="64"/>
    <w:bookmarkStart w:id="66" w:name="Xb52b09caf1cba78e737d9f27b3549e687fcb028"/>
    <w:p>
      <w:pPr>
        <w:pStyle w:val="Heading3"/>
      </w:pPr>
      <w:r>
        <w:t xml:space="preserve">Section 230: The Law That Built the Internet</w:t>
      </w:r>
    </w:p>
    <w:bookmarkStart w:id="65" w:name="X5015032acbced16c5ccbd8863e1660db40a57f7"/>
    <w:p>
      <w:pPr>
        <w:pStyle w:val="Heading4"/>
      </w:pPr>
      <w:r>
        <w:t xml:space="preserve">Section 230, Communications Decency Act (1996)</w:t>
      </w:r>
    </w:p>
    <w:p>
      <w:pPr>
        <w:pStyle w:val="CaseStudy"/>
      </w:pPr>
      <w:r>
        <w:t xml:space="preserve">Section 230 provides that "no provider or user of an interactive computer service shall be treated as the publisher or speaker of any information provided by another information content provider"</w:t>
      </w:r>
      <w:r>
        <w:t xml:space="preserve"> </w:t>
      </w:r>
      <w:r>
        <w:t xml:space="preserve">(</w:t>
      </w:r>
      <w:r>
        <w:rPr>
          <w:iCs/>
          <w:i/>
        </w:rPr>
        <w:t xml:space="preserve">Communications Decency Act of 1996, Section 230</w:t>
      </w:r>
      <w:r>
        <w:t xml:space="preserve">, 1996)</w:t>
      </w:r>
      <w:r>
        <w:t xml:space="preserve">. This single sentence has had enormous consequences: it means that platforms are generally not legally liable for content their users post, even if that content is defamatory, fraudulent, or harmful.</w:t>
      </w:r>
    </w:p>
    <w:p>
      <w:pPr>
        <w:pStyle w:val="CaseStudy"/>
      </w:pPr>
      <w:r>
        <w:t xml:space="preserve">Without Section 230, platforms would face an impossible choice: either review and approve every post before publishing (becoming publishers liable for everything, an impossible task at scale), or publish everything without any moderation (becoming cesspools of illegal and harmful content). Section 230 allows platforms to moderate content selectively without incurring full publisher liability — it is the legal framework that made user-generated content platforms possible.</w:t>
      </w:r>
    </w:p>
    <w:p>
      <w:pPr>
        <w:pStyle w:val="CaseStudy"/>
      </w:pPr>
      <w:r>
        <w:t xml:space="preserve">Critics from the left argue that Section 230 gives platforms too much immunity, allowing them to profit from harmful content without accountability. Critics from the right argue that platforms use their moderation discretion to suppress conservative voices. These opposing critiques agree that Section 230 requires reconsideration — they simply disagree about the direction of change.</w:t>
      </w:r>
    </w:p>
    <w:bookmarkEnd w:id="65"/>
    <w:bookmarkEnd w:id="66"/>
    <w:bookmarkStart w:id="69" w:name="Xe61caf77020876700a47b2ec274853d86b10351"/>
    <w:p>
      <w:pPr>
        <w:pStyle w:val="Heading3"/>
      </w:pPr>
      <w:r>
        <w:t xml:space="preserve">Deplatforming and Democratic Accountability</w:t>
      </w:r>
    </w:p>
    <w:bookmarkStart w:id="67" w:name="X1313c8a3f695e0507be1255a7c363e05891cc83"/>
    <w:p>
      <w:pPr>
        <w:pStyle w:val="Heading4"/>
      </w:pPr>
      <w:r>
        <w:t xml:space="preserve">Case Study: The Trump Social Media Bans (2021–2023)</w:t>
      </w:r>
    </w:p>
    <w:p>
      <w:pPr>
        <w:pStyle w:val="CaseStudy"/>
      </w:pPr>
      <w:r>
        <w:t xml:space="preserve">Following the January 6, 2021 attack on the United States Capitol, three major platforms cut off the accounts of President Donald Trump, citing the risk that his continued posting would incite further violence. The details differed, and the differences matter. Twitter announced a</w:t>
      </w:r>
      <w:r>
        <w:t xml:space="preserve"> </w:t>
      </w:r>
      <w:r>
        <w:rPr>
          <w:iCs/>
          <w:i/>
        </w:rPr>
        <w:t xml:space="preserve">permanent</w:t>
      </w:r>
      <w:r>
        <w:t xml:space="preserve"> </w:t>
      </w:r>
      <w:r>
        <w:t xml:space="preserve">suspension on 8 January. Facebook suspended him</w:t>
      </w:r>
      <w:r>
        <w:t xml:space="preserve"> </w:t>
      </w:r>
      <w:r>
        <w:rPr>
          <w:iCs/>
          <w:i/>
        </w:rPr>
        <w:t xml:space="preserve">indefinitely</w:t>
      </w:r>
      <w:r>
        <w:t xml:space="preserve">, then referred the decision to its own Oversight Board, which criticized the open-ended penalty as improper and forced Meta to convert it into a fixed two-year suspension. YouTube suspended the channel indefinitely, saying it would restore access when the risk of violence receded.</w:t>
      </w:r>
    </w:p>
    <w:p>
      <w:pPr>
        <w:pStyle w:val="CaseStudy"/>
      </w:pPr>
      <w:r>
        <w:t xml:space="preserve">The decision was controversial across the political spectrum. Supporters argued that the platforms were exercising their legitimate right as private companies to enforce their Terms of Service, and that the incitement exception justified the action on Millian grounds. Critics — including some who strongly opposed Trump — argued that the near-simultaneous removal of a sitting U.S. president by several major platforms represented a dangerous concentration of private editorial power and raised the question of who gave these corporations authority over democratic communication.</w:t>
      </w:r>
    </w:p>
    <w:p>
      <w:pPr>
        <w:pStyle w:val="CaseStudy"/>
      </w:pPr>
      <w:r>
        <w:t xml:space="preserve">The sequel complicates both stories. All three accounts were restored: X (formerly Twitter) in November 2022 after Elon Musk's acquisition, Meta in February 2023 at the end of the two-year term, and YouTube in March 2023. Each side can claim vindication. Defenders of the bans note that the platforms acted during an acute emergency and relaxed the restrictions once it passed, which is what proportionate enforcement looks like. Critics note that "permanent" turned out to mean "until the owner changed his mind," which is exactly their point: these were not principled decisions constrained by any rule, but revocable exercises of private discretion.</w:t>
      </w:r>
    </w:p>
    <w:p>
      <w:pPr>
        <w:pStyle w:val="CaseStudy"/>
      </w:pPr>
      <w:r>
        <w:t xml:space="preserve">The episode crystallized a tension that Mill's framework does not resolve. The harm principle tells us when speech may be restricted, but it says little about</w:t>
      </w:r>
      <w:r>
        <w:t xml:space="preserve"> </w:t>
      </w:r>
      <w:r>
        <w:rPr>
          <w:iCs/>
          <w:i/>
        </w:rPr>
        <w:t xml:space="preserve">who</w:t>
      </w:r>
      <w:r>
        <w:t xml:space="preserve"> </w:t>
      </w:r>
      <w:r>
        <w:t xml:space="preserve">should have the authority to make that determination — especially when the decision-maker is a private corporation with billions of dollars in advertising revenue at stake, and when its own rules can be rewritten overnight</w:t>
      </w:r>
      <w:r>
        <w:t xml:space="preserve"> </w:t>
      </w:r>
      <w:r>
        <w:t xml:space="preserve">(Klonick, 2018)</w:t>
      </w:r>
      <w:r>
        <w:t xml:space="preserve">.</w:t>
      </w:r>
    </w:p>
    <w:bookmarkEnd w:id="67"/>
    <w:bookmarkStart w:id="68" w:name="X3247e3f0440189918c89d7db75dffbe05b67e10"/>
    <w:p>
      <w:pPr>
        <w:pStyle w:val="Heading4"/>
      </w:pPr>
      <w:r>
        <w:t xml:space="preserve">Case Study: Australia's News Media Bargaining Code (2021)</w:t>
      </w:r>
    </w:p>
    <w:p>
      <w:pPr>
        <w:pStyle w:val="CaseStudy"/>
      </w:pPr>
      <w:r>
        <w:t xml:space="preserve">When Australia passed legislation requiring digital platforms to pay news publishers for content they host and link to, Facebook responded by temporarily blocking all news content in Australia — including government health pages, emergency services, and domestic violence support resources. The episode dramatically illustrated the leverage that platforms exercise over entire national information ecosystems. Negotiations eventually produced deals between Facebook and Australian publishers, but the confrontation demonstrated that private platforms can, in effect, switch off news access for an entire country — a power that Mill's framework, focused on government censorship, provides little guidance for addressing.</w:t>
      </w:r>
    </w:p>
    <w:bookmarkEnd w:id="68"/>
    <w:bookmarkEnd w:id="69"/>
    <w:bookmarkStart w:id="70" w:name="Xa87d2428cc4c67cae5d2f9deff5024502849f5a"/>
    <w:p>
      <w:pPr>
        <w:pStyle w:val="Heading3"/>
      </w:pPr>
      <w:r>
        <w:t xml:space="preserve">Algorithmic Amplification: Beyond Permission</w:t>
      </w:r>
    </w:p>
    <w:p>
      <w:pPr>
        <w:pStyle w:val="FirstParagraph"/>
      </w:pPr>
      <w:r>
        <w:t xml:space="preserve">Perhaps the most significant challenge to Mill's framework posed by social media is one that his marketplace metaphor barely anticipates: the question is not only what speech is</w:t>
      </w:r>
      <w:r>
        <w:t xml:space="preserve"> </w:t>
      </w:r>
      <w:r>
        <w:rPr>
          <w:iCs/>
          <w:i/>
        </w:rPr>
        <w:t xml:space="preserve">allowed</w:t>
      </w:r>
      <w:r>
        <w:t xml:space="preserve"> </w:t>
      </w:r>
      <w:r>
        <w:t xml:space="preserve">but what speech is</w:t>
      </w:r>
      <w:r>
        <w:t xml:space="preserve"> </w:t>
      </w:r>
      <w:r>
        <w:rPr>
          <w:iCs/>
          <w:i/>
        </w:rPr>
        <w:t xml:space="preserve">promoted</w:t>
      </w:r>
      <w:r>
        <w:t xml:space="preserve">. Platforms' recommendation algorithms optimize for engagement — shares, comments, time spent — and research consistently shows that outrage-inducing, emotionally charged, and sensational content generates more engagement than calm, accurate, nuanced reporting. This creates a structural incentive to amplify misinformation, extremism, and conflict regardless of whether any rule is technically violated.</w:t>
      </w:r>
    </w:p>
    <w:p>
      <w:pPr>
        <w:pStyle w:val="BodyText"/>
      </w:pPr>
      <w:r>
        <w:t xml:space="preserve">The distinction between content moderation (what is allowed) and algorithmic amplification (what is boosted) is crucial because it exposes a gap in the Millian framework. Allowing a piece of speech while making it invisible is functionally different from actively recommending it to millions of users. A platform that algorithmically amplifies vaccine misinformation to maximize engagement is doing something qualitatively different from merely failing to remove it — it is, in effect, editorially endorsing it with a massive amplification budget. Whether this amplification should be subject to the same legal scrutiny as content moderation is one of the live questions in platform regulation.</w:t>
      </w:r>
    </w:p>
    <w:p>
      <w:pPr>
        <w:pStyle w:val="BoxLabel"/>
      </w:pPr>
      <w:r>
        <w:t xml:space="preserve">Thought Questions</w:t>
      </w:r>
    </w:p>
    <w:p>
      <w:pPr>
        <w:numPr>
          <w:ilvl w:val="0"/>
          <w:numId w:val="1014"/>
        </w:numPr>
        <w:pStyle w:val="Compact"/>
      </w:pPr>
      <w:r>
        <w:t xml:space="preserve">When Twitter, Facebook, and YouTube removed a sitting U.S. president within days of one another, was that an exercise of legitimate private editorial discretion, a dangerous concentration of corporate power, or both?</w:t>
      </w:r>
    </w:p>
    <w:p>
      <w:pPr>
        <w:numPr>
          <w:ilvl w:val="0"/>
          <w:numId w:val="1014"/>
        </w:numPr>
        <w:pStyle w:val="Compact"/>
      </w:pPr>
      <w:r>
        <w:t xml:space="preserve">All three accounts were reinstated by 2023. Does that vindicate the platforms — proof that the restrictions were temporary and proportionate — or does it vindicate their critics, by showing that "permanent" meant only "until the company changed its mind"?</w:t>
      </w:r>
    </w:p>
    <w:p>
      <w:pPr>
        <w:numPr>
          <w:ilvl w:val="0"/>
          <w:numId w:val="1014"/>
        </w:numPr>
        <w:pStyle w:val="Compact"/>
      </w:pPr>
      <w:r>
        <w:t xml:space="preserve">Is there a meaningful moral difference between a platform</w:t>
      </w:r>
      <w:r>
        <w:t xml:space="preserve"> </w:t>
      </w:r>
      <w:r>
        <w:rPr>
          <w:iCs/>
          <w:i/>
        </w:rPr>
        <w:t xml:space="preserve">allowing</w:t>
      </w:r>
      <w:r>
        <w:t xml:space="preserve"> </w:t>
      </w:r>
      <w:r>
        <w:t xml:space="preserve">misinformation and a platform</w:t>
      </w:r>
      <w:r>
        <w:t xml:space="preserve"> </w:t>
      </w:r>
      <w:r>
        <w:rPr>
          <w:iCs/>
          <w:i/>
        </w:rPr>
        <w:t xml:space="preserve">algorithmically recommending</w:t>
      </w:r>
      <w:r>
        <w:t xml:space="preserve"> </w:t>
      </w:r>
      <w:r>
        <w:t xml:space="preserve">it to millions of users? Should the law treat these differently?</w:t>
      </w:r>
    </w:p>
    <w:p>
      <w:pPr>
        <w:numPr>
          <w:ilvl w:val="0"/>
          <w:numId w:val="1014"/>
        </w:numPr>
        <w:pStyle w:val="Compact"/>
      </w:pPr>
      <w:r>
        <w:t xml:space="preserve">Should platforms be legally treated more like phone companies (neutral conduits required to carry all speech) or more like newspapers (editorial entities that choose what to publish)? What are the tradeoffs of each model?</w:t>
      </w:r>
    </w:p>
    <w:bookmarkEnd w:id="70"/>
    <w:bookmarkEnd w:id="71"/>
    <w:bookmarkEnd w:id="72"/>
    <w:bookmarkStart w:id="77" w:name="ai"/>
    <w:bookmarkStart w:id="76" w:name="ai-heading"/>
    <w:p>
      <w:pPr>
        <w:pStyle w:val="Heading2"/>
      </w:pPr>
      <w:r>
        <w:t xml:space="preserve">AI and the Future of Speech</w:t>
      </w:r>
    </w:p>
    <w:p>
      <w:pPr>
        <w:pStyle w:val="FirstParagraph"/>
      </w:pPr>
      <w:r>
        <w:t xml:space="preserve">Artificial intelligence introduces a genuinely novel set of challenges that strain the existing conceptual vocabulary of free speech philosophy. Who is the "speaker" when a large language model produces text? Do the justifications for free speech protection — human autonomy, participation in truth-seeking — apply to systems that have neither autonomy nor a stake in truth? And how do we regulate AI-generated speech in ways that prevent harm without creating a censorship infrastructure that could be turned against human expression?</w:t>
      </w:r>
    </w:p>
    <w:bookmarkStart w:id="73" w:name="Xafbc663e4e92ce978a592fdb64efeefe0dae803"/>
    <w:p>
      <w:pPr>
        <w:pStyle w:val="Heading3"/>
      </w:pPr>
      <w:r>
        <w:t xml:space="preserve">The Misfit Between Mill's Framework and AI Speech</w:t>
      </w:r>
    </w:p>
    <w:p>
      <w:pPr>
        <w:pStyle w:val="FirstParagraph"/>
      </w:pPr>
      <w:r>
        <w:t xml:space="preserve">Recall Mill's two main arguments for free speech. The argument from truth rests on the premise that free debate among fallible humans produces better epistemic outcomes than censorship. The argument from autonomy rests on the premise that restricting speech treats persons as incapable of judging for themselves. Neither argument maps cleanly onto AI-generated speech. An AI system is not a person with dignity who deserves to express themselves; it does not have the epistemic stake in truth-seeking that Mill's argument assumes. Its "speech" is the product of optimization processes trained on human data — but that is very different from the kind of human expression Mill was defending.</w:t>
      </w:r>
    </w:p>
    <w:p>
      <w:pPr>
        <w:pStyle w:val="BodyText"/>
      </w:pPr>
      <w:r>
        <w:t xml:space="preserve">At the same time, AI-generated content does interact with the epistemic environment in ways that matter for Mill's truth-seeking framework. A language model that confidently produces plausible-sounding misinformation at massive scale — medical advice, historical fabrications, fake quotes attributed to real people — degrades the information environment that the marketplace of ideas depends on. And AI-generated deepfakes that impersonate real people raise profound questions about the relationship between speech, identity, and truth.</w:t>
      </w:r>
    </w:p>
    <w:bookmarkEnd w:id="73"/>
    <w:bookmarkStart w:id="75" w:name="regulatory-proposals"/>
    <w:p>
      <w:pPr>
        <w:pStyle w:val="Heading3"/>
      </w:pPr>
      <w:r>
        <w:t xml:space="preserve">Regulatory Proposals</w:t>
      </w:r>
    </w:p>
    <w:p>
      <w:pPr>
        <w:pStyle w:val="TableCaption"/>
      </w:pPr>
      <w:r>
        <w:t xml:space="preserve">Table 3.5 — Current Proposals for Regulating AI-Generated Speech</w:t>
      </w:r>
    </w:p>
    <w:tbl>
      <w:tblPr>
        <w:tblStyle w:val="Table"/>
        <w:tblW w:type="auto" w:w="0"/>
        <w:tblLook w:firstRow="1" w:lastRow="0" w:firstColumn="0" w:lastColumn="0" w:noHBand="0" w:noVBand="0" w:val="0020"/>
        <w:jc w:val="start"/>
        <w:tblCaption w:val="Table 3.5 — Current Proposals for Regulating AI-Generated Speech"/>
      </w:tblPr>
      <w:tblGrid>
        <w:gridCol w:w="2640"/>
        <w:gridCol w:w="2640"/>
        <w:gridCol w:w="2640"/>
      </w:tblGrid>
      <w:tr>
        <w:trPr>
          <w:tblHeader w:val="true"/>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Key Concern</w:t>
            </w:r>
          </w:p>
        </w:tc>
      </w:tr>
      <w:tr>
        <w:tc>
          <w:tcPr/>
          <w:p>
            <w:pPr>
              <w:pStyle w:val="Compact"/>
              <w:jc w:val="left"/>
            </w:pPr>
            <w:r>
              <w:rPr>
                <w:bCs/>
                <w:b/>
              </w:rPr>
              <w:t xml:space="preserve">Disclosure requirements</w:t>
            </w:r>
          </w:p>
        </w:tc>
        <w:tc>
          <w:tcPr/>
          <w:p>
            <w:pPr>
              <w:pStyle w:val="Compact"/>
              <w:jc w:val="left"/>
            </w:pPr>
            <w:r>
              <w:t xml:space="preserve">AI systems must identify themselves as AI; no impersonation of humans</w:t>
            </w:r>
          </w:p>
        </w:tc>
        <w:tc>
          <w:tcPr/>
          <w:p>
            <w:pPr>
              <w:pStyle w:val="Compact"/>
              <w:jc w:val="left"/>
            </w:pPr>
            <w:r>
              <w:t xml:space="preserve">Deception, manipulation of vulnerable users</w:t>
            </w:r>
          </w:p>
        </w:tc>
      </w:tr>
      <w:tr>
        <w:tc>
          <w:tcPr/>
          <w:p>
            <w:pPr>
              <w:pStyle w:val="Compact"/>
              <w:jc w:val="left"/>
            </w:pPr>
            <w:r>
              <w:rPr>
                <w:bCs/>
                <w:b/>
              </w:rPr>
              <w:t xml:space="preserve">Liability frameworks</w:t>
            </w:r>
          </w:p>
        </w:tc>
        <w:tc>
          <w:tcPr/>
          <w:p>
            <w:pPr>
              <w:pStyle w:val="Compact"/>
              <w:jc w:val="left"/>
            </w:pPr>
            <w:r>
              <w:t xml:space="preserve">Developers and deployers bear legal responsibility for AI-caused harms</w:t>
            </w:r>
          </w:p>
        </w:tc>
        <w:tc>
          <w:tcPr/>
          <w:p>
            <w:pPr>
              <w:pStyle w:val="Compact"/>
              <w:jc w:val="left"/>
            </w:pPr>
            <w:r>
              <w:t xml:space="preserve">Currently uncertain who is responsible</w:t>
            </w:r>
          </w:p>
        </w:tc>
      </w:tr>
      <w:tr>
        <w:tc>
          <w:tcPr/>
          <w:p>
            <w:pPr>
              <w:pStyle w:val="Compact"/>
              <w:jc w:val="left"/>
            </w:pPr>
            <w:r>
              <w:rPr>
                <w:bCs/>
                <w:b/>
              </w:rPr>
              <w:t xml:space="preserve">Content restrictions</w:t>
            </w:r>
          </w:p>
        </w:tc>
        <w:tc>
          <w:tcPr/>
          <w:p>
            <w:pPr>
              <w:pStyle w:val="Compact"/>
              <w:jc w:val="left"/>
            </w:pPr>
            <w:r>
              <w:t xml:space="preserve">AI systems required to refuse certain categories of output (CSAM, weapons synthesis, etc.)</w:t>
            </w:r>
          </w:p>
        </w:tc>
        <w:tc>
          <w:tcPr/>
          <w:p>
            <w:pPr>
              <w:pStyle w:val="Compact"/>
              <w:jc w:val="left"/>
            </w:pPr>
            <w:r>
              <w:t xml:space="preserve">Deciding who sets the restrictions and how broadly</w:t>
            </w:r>
          </w:p>
        </w:tc>
      </w:tr>
      <w:tr>
        <w:tc>
          <w:tcPr/>
          <w:p>
            <w:pPr>
              <w:pStyle w:val="Compact"/>
              <w:jc w:val="left"/>
            </w:pPr>
            <w:r>
              <w:rPr>
                <w:bCs/>
                <w:b/>
              </w:rPr>
              <w:t xml:space="preserve">Transparency mandates</w:t>
            </w:r>
          </w:p>
        </w:tc>
        <w:tc>
          <w:tcPr/>
          <w:p>
            <w:pPr>
              <w:pStyle w:val="Compact"/>
              <w:jc w:val="left"/>
            </w:pPr>
            <w:r>
              <w:t xml:space="preserve">Developers must explain how systems generate responses and what training data was used</w:t>
            </w:r>
          </w:p>
        </w:tc>
        <w:tc>
          <w:tcPr/>
          <w:p>
            <w:pPr>
              <w:pStyle w:val="Compact"/>
              <w:jc w:val="left"/>
            </w:pPr>
            <w:r>
              <w:t xml:space="preserve">Commercial secrecy; technical complexity</w:t>
            </w:r>
          </w:p>
        </w:tc>
      </w:tr>
      <w:tr>
        <w:tc>
          <w:tcPr/>
          <w:p>
            <w:pPr>
              <w:pStyle w:val="Compact"/>
              <w:jc w:val="left"/>
            </w:pPr>
            <w:r>
              <w:rPr>
                <w:bCs/>
                <w:b/>
              </w:rPr>
              <w:t xml:space="preserve">Watermarking</w:t>
            </w:r>
          </w:p>
        </w:tc>
        <w:tc>
          <w:tcPr/>
          <w:p>
            <w:pPr>
              <w:pStyle w:val="Compact"/>
              <w:jc w:val="left"/>
            </w:pPr>
            <w:r>
              <w:t xml:space="preserve">AI-generated content must carry detectable markers identifying it as machine-produced</w:t>
            </w:r>
          </w:p>
        </w:tc>
        <w:tc>
          <w:tcPr/>
          <w:p>
            <w:pPr>
              <w:pStyle w:val="Compact"/>
              <w:jc w:val="left"/>
            </w:pPr>
            <w:r>
              <w:t xml:space="preserve">Technical feasibility; ease of removal</w:t>
            </w:r>
          </w:p>
        </w:tc>
      </w:tr>
    </w:tbl>
    <w:p>
      <w:pPr>
        <w:pStyle w:val="BodyText"/>
      </w:pPr>
      <w:r>
        <w:t xml:space="preserve">Two of these proposals stopped being hypothetical in 2026. The European Union's AI Act — which sits alongside the Digital Services Act</w:t>
      </w:r>
      <w:r>
        <w:t xml:space="preserve"> </w:t>
      </w:r>
      <w:r>
        <w:t xml:space="preserve">(</w:t>
      </w:r>
      <w:r>
        <w:rPr>
          <w:iCs/>
          <w:i/>
        </w:rPr>
        <w:t xml:space="preserve">Digital Services Act</w:t>
      </w:r>
      <w:r>
        <w:t xml:space="preserve">, 2022)</w:t>
      </w:r>
      <w:r>
        <w:t xml:space="preserve"> </w:t>
      </w:r>
      <w:r>
        <w:t xml:space="preserve">in the EU's regulatory architecture — is being phased in over several years, and its Article 50 transparency rules took effect on 2 August 2026</w:t>
      </w:r>
      <w:r>
        <w:t xml:space="preserve"> </w:t>
      </w:r>
      <w:r>
        <w:t xml:space="preserve">(European Union, 2024)</w:t>
      </w:r>
      <w:r>
        <w:t xml:space="preserve">. Under them, you must be told when you are interacting with an AI system rather than a person, and synthetic image, audio, and video content, including deepfakes, must be machine-readably marked as artificially generated. Those obligations amount to a legal answer to the "who is speaking?" question: not that AI speech is banned, but that it may not pretend to be human.</w:t>
      </w:r>
    </w:p>
    <w:p>
      <w:pPr>
        <w:pStyle w:val="BodyText"/>
      </w:pPr>
      <w:r>
        <w:t xml:space="preserve">It is worth being precise about the rest of the Act, because it is frequently described inaccurately. The Act's Article 5 prohibitions on certain uses — social scoring, some biometric categorization, manipulative techniques that exploit vulnerability — have applied since February 2025. Obligations for general-purpose AI models have applied since August 2025, and the Commission's power to fine for breaching them switched on in August 2026. But the heavily publicized</w:t>
      </w:r>
      <w:r>
        <w:t xml:space="preserve"> </w:t>
      </w:r>
      <w:r>
        <w:rPr>
          <w:bCs/>
          <w:b/>
        </w:rPr>
        <w:t xml:space="preserve">high-risk</w:t>
      </w:r>
      <w:r>
        <w:t xml:space="preserve"> </w:t>
      </w:r>
      <w:r>
        <w:t xml:space="preserve">obligations, covering AI used in hiring, credit scoring, and biometric identification, were originally due in August 2026 and were postponed to</w:t>
      </w:r>
      <w:r>
        <w:t xml:space="preserve"> </w:t>
      </w:r>
      <w:r>
        <w:rPr>
          <w:bCs/>
          <w:b/>
        </w:rPr>
        <w:t xml:space="preserve">2 December 2027</w:t>
      </w:r>
      <w:r>
        <w:t xml:space="preserve"> </w:t>
      </w:r>
      <w:r>
        <w:t xml:space="preserve">by the "Digital Omnibus on AI" regulation, which entered into force on 27 July 2026</w:t>
      </w:r>
      <w:r>
        <w:t xml:space="preserve"> </w:t>
      </w:r>
      <w:r>
        <w:t xml:space="preserve">(European Union, 2026)</w:t>
      </w:r>
      <w:r>
        <w:t xml:space="preserve">; high-risk systems embedded in regulated products were pushed to August 2028. So the common claim that "the EU AI Act is fully in force" is simply wrong. What is in force is the transparency layer — the part that most directly concerns speech — while the part that most directly concerns consequential decisions about people's lives is still more than a year away. Reading a regulation carefully enough to know which of its parts actually bind anyone today is an underrated civic skill.</w:t>
      </w:r>
    </w:p>
    <w:bookmarkStart w:id="74" w:name="X4b2571799acf4c1b0c5195fd166dbed75401f03"/>
    <w:p>
      <w:pPr>
        <w:pStyle w:val="Heading4"/>
      </w:pPr>
      <w:r>
        <w:t xml:space="preserve">Case Study: Chatbot "Jailbreaking" and the Autonomy Question</w:t>
      </w:r>
    </w:p>
    <w:p>
      <w:pPr>
        <w:pStyle w:val="CaseStudy"/>
      </w:pPr>
      <w:r>
        <w:t xml:space="preserve">Modern AI chatbots are designed with content policies that prevent them from providing certain types of assistance — synthesis instructions for dangerous substances, sexual content involving minors, detailed guidance on committing violence. Users who wish to bypass these restrictions have developed various "jailbreaking" techniques: asking the AI to roleplay as a fictional character "with no restrictions," embedding harmful requests in creative writing prompts, or using encoding schemes to obscure the nature of the request.</w:t>
      </w:r>
    </w:p>
    <w:p>
      <w:pPr>
        <w:pStyle w:val="CaseStudy"/>
      </w:pPr>
      <w:r>
        <w:t xml:space="preserve">This phenomenon raises a question that maps interestingly onto Mill's framework: who should decide what an AI system is "allowed" to say? If the developer's content policies are paternalistic — treating users as incapable of handling certain information — does that make them problematic from a Millian autonomy perspective? Or does the nature of AI (a system that can be simultaneously deployed to millions of users, including minors, bad actors, and vulnerable people) make the analogy to individual human speech misleading? The debate over AI content policies is, in many ways, the latest iteration of the oldest free speech question: when does preventing harm justify restricting expression?</w:t>
      </w:r>
    </w:p>
    <w:bookmarkEnd w:id="74"/>
    <w:p>
      <w:pPr>
        <w:pStyle w:val="BoxLabel"/>
      </w:pPr>
      <w:r>
        <w:t xml:space="preserve">Thought Questions</w:t>
      </w:r>
    </w:p>
    <w:p>
      <w:pPr>
        <w:numPr>
          <w:ilvl w:val="0"/>
          <w:numId w:val="1015"/>
        </w:numPr>
        <w:pStyle w:val="Compact"/>
      </w:pPr>
      <w:r>
        <w:t xml:space="preserve">Does AI-generated text count as "speech" in any morally relevant sense? Should the developer, the deployer, or the user bear responsibility when AI output causes harm?</w:t>
      </w:r>
    </w:p>
    <w:p>
      <w:pPr>
        <w:numPr>
          <w:ilvl w:val="0"/>
          <w:numId w:val="1015"/>
        </w:numPr>
        <w:pStyle w:val="Compact"/>
      </w:pPr>
      <w:r>
        <w:t xml:space="preserve">AI content restrictions are set by private companies without public input. Is that a free speech problem? Who — if anyone — should have democratic oversight of these decisions?</w:t>
      </w:r>
    </w:p>
    <w:p>
      <w:pPr>
        <w:numPr>
          <w:ilvl w:val="0"/>
          <w:numId w:val="1015"/>
        </w:numPr>
        <w:pStyle w:val="Compact"/>
      </w:pPr>
      <w:r>
        <w:t xml:space="preserve">Is "jailbreaking" an AI chatbot to bypass its safety restrictions a legitimate exercise of user autonomy, or something more like picking a lock? Does it matter what the user intends to do with the information?</w:t>
      </w:r>
    </w:p>
    <w:p>
      <w:pPr>
        <w:numPr>
          <w:ilvl w:val="0"/>
          <w:numId w:val="1015"/>
        </w:numPr>
        <w:pStyle w:val="Compact"/>
      </w:pPr>
      <w:r>
        <w:t xml:space="preserve">The EU now requires that you be told when you are talking to a machine. Is that a restriction on the AI's speech, a protection of the listener's autonomy, or neither? How would Mill have analyzed a rule that regulates who a speaker may pretend to be rather than what may be said?</w:t>
      </w:r>
    </w:p>
    <w:bookmarkEnd w:id="75"/>
    <w:bookmarkEnd w:id="76"/>
    <w:bookmarkEnd w:id="77"/>
    <w:bookmarkStart w:id="81" w:name="objections"/>
    <w:bookmarkStart w:id="80" w:name="obj-heading"/>
    <w:p>
      <w:pPr>
        <w:pStyle w:val="Heading2"/>
      </w:pPr>
      <w:r>
        <w:t xml:space="preserve">Objections and Responses</w:t>
      </w:r>
    </w:p>
    <w:bookmarkStart w:id="78" w:name="objection-1-the-marketplace-fails"/>
    <w:p>
      <w:pPr>
        <w:pStyle w:val="Heading3"/>
      </w:pPr>
      <w:r>
        <w:t xml:space="preserve">Objection 1: The Marketplace Fails</w:t>
      </w:r>
    </w:p>
    <w:p>
      <w:pPr>
        <w:numPr>
          <w:ilvl w:val="0"/>
          <w:numId w:val="1016"/>
        </w:numPr>
        <w:pStyle w:val="Compact"/>
      </w:pPr>
      <w:r>
        <w:t xml:space="preserve">Truth does</w:t>
      </w:r>
      <w:r>
        <w:t xml:space="preserve"> </w:t>
      </w:r>
      <w:r>
        <w:rPr>
          <w:iCs/>
          <w:i/>
        </w:rPr>
        <w:t xml:space="preserve">not</w:t>
      </w:r>
      <w:r>
        <w:t xml:space="preserve"> </w:t>
      </w:r>
      <w:r>
        <w:t xml:space="preserve">always win in the marketplace of ideas. A large study of Twitter cascades found that false news stories reached more people, and reached them faster, than true ones — and that human users, not bots, were doing most of the spreading</w:t>
      </w:r>
      <w:r>
        <w:t xml:space="preserve"> </w:t>
      </w:r>
      <w:r>
        <w:t xml:space="preserve">(Vosoughi et al., 2018)</w:t>
      </w:r>
      <w:r>
        <w:t xml:space="preserve">.</w:t>
      </w:r>
    </w:p>
    <w:p>
      <w:pPr>
        <w:numPr>
          <w:ilvl w:val="0"/>
          <w:numId w:val="1016"/>
        </w:numPr>
        <w:pStyle w:val="Compact"/>
      </w:pPr>
      <w:r>
        <w:t xml:space="preserve">Cognitive biases (confirmation bias, availability heuristic, in-group loyalty) favor emotionally resonant falsehoods over accurate but boring truths.</w:t>
      </w:r>
    </w:p>
    <w:p>
      <w:pPr>
        <w:numPr>
          <w:ilvl w:val="0"/>
          <w:numId w:val="1016"/>
        </w:numPr>
        <w:pStyle w:val="Compact"/>
      </w:pPr>
      <w:r>
        <w:t xml:space="preserve">The attention economy rewards extremism, outrage, and novelty — not accuracy or nuance.</w:t>
      </w:r>
    </w:p>
    <w:p>
      <w:pPr>
        <w:numPr>
          <w:ilvl w:val="0"/>
          <w:numId w:val="1016"/>
        </w:numPr>
        <w:pStyle w:val="Compact"/>
      </w:pPr>
      <w:r>
        <w:t xml:space="preserve">"More speech" in algorithmically curated environments can drown out truth rather than reveal it, because the algorithm serves engagement, not epistemics.</w:t>
      </w:r>
    </w:p>
    <w:p>
      <w:pPr>
        <w:pStyle w:val="ArgumentBox"/>
      </w:pPr>
      <w:r>
        <w:rPr>
          <w:bCs/>
          <w:b/>
        </w:rPr>
        <w:t xml:space="preserve">Mill's likely response:</w:t>
      </w:r>
      <w:r>
        <w:t xml:space="preserve"> </w:t>
      </w:r>
      <w:r>
        <w:t xml:space="preserve">Mill would acknowledge that markets fail — he had no naive faith in any market, economic or epistemic. But he would insist that the alternative (giving some authority the power to decide which ideas are too dangerous to compete) is worse, because that authority is itself fallible and corruptible. The solution is to fix the conditions of the marketplace — reduce algorithmic distortion, improve media literacy, strengthen civic institutions — not to appoint censors.</w:t>
      </w:r>
    </w:p>
    <w:bookmarkEnd w:id="78"/>
    <w:bookmarkStart w:id="79" w:name="X771beedeff3745ec08e4c1cc06b3c06dd002f2e"/>
    <w:p>
      <w:pPr>
        <w:pStyle w:val="Heading3"/>
      </w:pPr>
      <w:r>
        <w:t xml:space="preserve">Objection 2: Power Imbalances Undermine Equal Speech</w:t>
      </w:r>
    </w:p>
    <w:p>
      <w:pPr>
        <w:numPr>
          <w:ilvl w:val="0"/>
          <w:numId w:val="1017"/>
        </w:numPr>
        <w:pStyle w:val="Compact"/>
      </w:pPr>
      <w:r>
        <w:t xml:space="preserve">"Free speech" as a formal right is not the same as equal real ability to speak and be heard.</w:t>
      </w:r>
    </w:p>
    <w:p>
      <w:pPr>
        <w:numPr>
          <w:ilvl w:val="0"/>
          <w:numId w:val="1017"/>
        </w:numPr>
        <w:pStyle w:val="Compact"/>
      </w:pPr>
      <w:r>
        <w:t xml:space="preserve">Corporations, state actors, and well-funded interest groups can flood the information environment with propaganda, drowning out individual voices.</w:t>
      </w:r>
    </w:p>
    <w:p>
      <w:pPr>
        <w:numPr>
          <w:ilvl w:val="0"/>
          <w:numId w:val="1017"/>
        </w:numPr>
        <w:pStyle w:val="Compact"/>
      </w:pPr>
      <w:r>
        <w:t xml:space="preserve">Coordinated inauthentic behavior — bot networks, astroturfing, content farms — can manufacture the appearance of public opinion.</w:t>
      </w:r>
    </w:p>
    <w:p>
      <w:pPr>
        <w:numPr>
          <w:ilvl w:val="0"/>
          <w:numId w:val="1017"/>
        </w:numPr>
        <w:pStyle w:val="Compact"/>
      </w:pPr>
      <w:r>
        <w:t xml:space="preserve">Equal formal rights to expression coexist with radical inequality in whose expression actually reaches an audience.</w:t>
      </w:r>
    </w:p>
    <w:p>
      <w:pPr>
        <w:pStyle w:val="ArgumentBox"/>
      </w:pPr>
      <w:r>
        <w:rPr>
          <w:bCs/>
          <w:b/>
        </w:rPr>
        <w:t xml:space="preserve">Mill's likely response:</w:t>
      </w:r>
      <w:r>
        <w:t xml:space="preserve"> </w:t>
      </w:r>
      <w:r>
        <w:t xml:space="preserve">Mill was actually quite sensitive to power imbalances — his concern about "social tyranny" reflects awareness that informal power, not just formal law, shapes who can speak effectively. He would likely argue that these imbalances justify structural reforms to the information environment (antitrust enforcement against media consolidation, transparency requirements for political advertising, platform design mandates) rather than content-based restrictions on particular speakers.</w:t>
      </w:r>
    </w:p>
    <w:bookmarkEnd w:id="79"/>
    <w:p>
      <w:pPr>
        <w:pStyle w:val="BoxLabel"/>
      </w:pPr>
      <w:r>
        <w:t xml:space="preserve">Thought Questions</w:t>
      </w:r>
    </w:p>
    <w:p>
      <w:pPr>
        <w:numPr>
          <w:ilvl w:val="0"/>
          <w:numId w:val="1018"/>
        </w:numPr>
        <w:pStyle w:val="Compact"/>
      </w:pPr>
      <w:r>
        <w:t xml:space="preserve">If you could demonstrate that restricting hate speech would measurably reduce violence against targeted groups, would that be sufficient to justify the restriction from a Millian perspective?</w:t>
      </w:r>
    </w:p>
    <w:p>
      <w:pPr>
        <w:numPr>
          <w:ilvl w:val="0"/>
          <w:numId w:val="1018"/>
        </w:numPr>
        <w:pStyle w:val="Compact"/>
      </w:pPr>
      <w:r>
        <w:t xml:space="preserve">Is there a meaningful difference, for purposes of free speech law, between a platform "allowing" a piece of content and a platform "recommending" it to millions of users?</w:t>
      </w:r>
    </w:p>
    <w:p>
      <w:pPr>
        <w:numPr>
          <w:ilvl w:val="0"/>
          <w:numId w:val="1018"/>
        </w:numPr>
        <w:pStyle w:val="Compact"/>
      </w:pPr>
      <w:r>
        <w:t xml:space="preserve">Should an AI chatbot's refusal to answer certain questions be understood as censorship? If so, censorship by whom?</w:t>
      </w:r>
    </w:p>
    <w:p>
      <w:pPr>
        <w:numPr>
          <w:ilvl w:val="0"/>
          <w:numId w:val="1018"/>
        </w:numPr>
        <w:pStyle w:val="Compact"/>
      </w:pPr>
      <w:r>
        <w:t xml:space="preserve">Where would Mill come down on social media regulation if he were writing</w:t>
      </w:r>
      <w:r>
        <w:t xml:space="preserve"> </w:t>
      </w:r>
      <w:r>
        <w:rPr>
          <w:iCs/>
          <w:i/>
        </w:rPr>
        <w:t xml:space="preserve">On Liberty</w:t>
      </w:r>
      <w:r>
        <w:t xml:space="preserve"> </w:t>
      </w:r>
      <w:r>
        <w:t xml:space="preserve">today, with knowledge of algorithmic amplification and platform monopolies?</w:t>
      </w:r>
    </w:p>
    <w:bookmarkEnd w:id="80"/>
    <w:bookmarkEnd w:id="81"/>
    <w:bookmarkStart w:id="83" w:name="key-points"/>
    <w:bookmarkStart w:id="82" w:name="kp-heading"/>
    <w:p>
      <w:pPr>
        <w:pStyle w:val="Heading2"/>
      </w:pPr>
      <w:r>
        <w:t xml:space="preserve">Key Points</w:t>
      </w:r>
    </w:p>
    <w:p>
      <w:pPr>
        <w:pStyle w:val="BoxLabel"/>
      </w:pPr>
      <w:r>
        <w:t xml:space="preserve">Key Points</w:t>
      </w:r>
    </w:p>
    <w:p>
      <w:pPr>
        <w:numPr>
          <w:ilvl w:val="0"/>
          <w:numId w:val="1019"/>
        </w:numPr>
        <w:pStyle w:val="Compact"/>
      </w:pPr>
      <w:r>
        <w:rPr>
          <w:bCs/>
          <w:b/>
        </w:rPr>
        <w:t xml:space="preserve">The harm principle</w:t>
      </w:r>
      <w:r>
        <w:t xml:space="preserve"> </w:t>
      </w:r>
      <w:r>
        <w:t xml:space="preserve">— the only legitimate reason to restrict liberty is to prevent harm to others — is the foundation of Mill's approach to free speech. Offense, disgust, and moral disapproval alone do not meet the threshold.</w:t>
      </w:r>
    </w:p>
    <w:p>
      <w:pPr>
        <w:numPr>
          <w:ilvl w:val="0"/>
          <w:numId w:val="1019"/>
        </w:numPr>
        <w:pStyle w:val="Compact"/>
      </w:pPr>
      <w:r>
        <w:rPr>
          <w:bCs/>
          <w:b/>
        </w:rPr>
        <w:t xml:space="preserve">The Argument from Truth</w:t>
      </w:r>
      <w:r>
        <w:t xml:space="preserve"> </w:t>
      </w:r>
      <w:r>
        <w:t xml:space="preserve">holds that free debate among fallible speakers is the best method for discovering truth. Even false views should be heard because we might be wrong, because false views sharpen our grasp of true ones, and because suppression creates "dead dogma."</w:t>
      </w:r>
    </w:p>
    <w:p>
      <w:pPr>
        <w:numPr>
          <w:ilvl w:val="0"/>
          <w:numId w:val="1019"/>
        </w:numPr>
        <w:pStyle w:val="Compact"/>
      </w:pPr>
      <w:r>
        <w:rPr>
          <w:bCs/>
          <w:b/>
        </w:rPr>
        <w:t xml:space="preserve">The Argument from Autonomy</w:t>
      </w:r>
      <w:r>
        <w:t xml:space="preserve"> </w:t>
      </w:r>
      <w:r>
        <w:t xml:space="preserve">holds that restricting speech is paternalistic — it treats adults as incapable of judging ideas for themselves, violating their dignity as rational, self-governing persons.</w:t>
      </w:r>
    </w:p>
    <w:p>
      <w:pPr>
        <w:numPr>
          <w:ilvl w:val="0"/>
          <w:numId w:val="1019"/>
        </w:numPr>
        <w:pStyle w:val="Compact"/>
      </w:pPr>
      <w:r>
        <w:rPr>
          <w:bCs/>
          <w:b/>
        </w:rPr>
        <w:t xml:space="preserve">Four threats</w:t>
      </w:r>
      <w:r>
        <w:t xml:space="preserve"> </w:t>
      </w:r>
      <w:r>
        <w:t xml:space="preserve">face free expression: government censorship, social tyranny (informal pressure), corporate platform power, and economic barriers to being heard. Mill analyzed the first two at length; the third and fourth, which dominate digital debates, are extensions of his framework rather than parts of it.</w:t>
      </w:r>
    </w:p>
    <w:p>
      <w:pPr>
        <w:numPr>
          <w:ilvl w:val="0"/>
          <w:numId w:val="1019"/>
        </w:numPr>
        <w:pStyle w:val="Compact"/>
      </w:pPr>
      <w:r>
        <w:rPr>
          <w:bCs/>
          <w:b/>
        </w:rPr>
        <w:t xml:space="preserve">The Silencing Argument</w:t>
      </w:r>
      <w:r>
        <w:t xml:space="preserve">, developed by MacKinnon, Matsuda, and Waldron, contends that some speech (hate speech, systematic harassment) drives targeted groups out of public discourse — undermining the very values that free speech protections are meant to serve.</w:t>
      </w:r>
    </w:p>
    <w:p>
      <w:pPr>
        <w:numPr>
          <w:ilvl w:val="0"/>
          <w:numId w:val="1019"/>
        </w:numPr>
        <w:pStyle w:val="Compact"/>
      </w:pPr>
      <w:r>
        <w:rPr>
          <w:bCs/>
          <w:b/>
        </w:rPr>
        <w:t xml:space="preserve">The marketplace of ideas</w:t>
      </w:r>
      <w:r>
        <w:t xml:space="preserve"> </w:t>
      </w:r>
      <w:r>
        <w:t xml:space="preserve">metaphor assumes conditions — rough equality of access, audiences capable of rational evaluation — that may not hold in environments optimized for engagement over truth by recommendation algorithms.</w:t>
      </w:r>
    </w:p>
    <w:p>
      <w:pPr>
        <w:numPr>
          <w:ilvl w:val="0"/>
          <w:numId w:val="1019"/>
        </w:numPr>
        <w:pStyle w:val="Compact"/>
      </w:pPr>
      <w:r>
        <w:rPr>
          <w:bCs/>
          <w:b/>
        </w:rPr>
        <w:t xml:space="preserve">Section 230</w:t>
      </w:r>
      <w:r>
        <w:t xml:space="preserve"> </w:t>
      </w:r>
      <w:r>
        <w:t xml:space="preserve">provides platforms with immunity from liability for user-generated content, enabling platform growth while insulating them from accountability for harms they amplify.</w:t>
      </w:r>
    </w:p>
    <w:p>
      <w:pPr>
        <w:numPr>
          <w:ilvl w:val="0"/>
          <w:numId w:val="1019"/>
        </w:numPr>
        <w:pStyle w:val="Compact"/>
      </w:pPr>
      <w:r>
        <w:rPr>
          <w:bCs/>
          <w:b/>
        </w:rPr>
        <w:t xml:space="preserve">Algorithmic amplification</w:t>
      </w:r>
      <w:r>
        <w:t xml:space="preserve"> </w:t>
      </w:r>
      <w:r>
        <w:t xml:space="preserve">is a form of editorial power that Mill's government-focused framework did not anticipate: whether content is</w:t>
      </w:r>
      <w:r>
        <w:t xml:space="preserve"> </w:t>
      </w:r>
      <w:r>
        <w:rPr>
          <w:iCs/>
          <w:i/>
        </w:rPr>
        <w:t xml:space="preserve">promoted</w:t>
      </w:r>
      <w:r>
        <w:t xml:space="preserve">, not just</w:t>
      </w:r>
      <w:r>
        <w:t xml:space="preserve"> </w:t>
      </w:r>
      <w:r>
        <w:rPr>
          <w:iCs/>
          <w:i/>
        </w:rPr>
        <w:t xml:space="preserve">permitted</w:t>
      </w:r>
      <w:r>
        <w:t xml:space="preserve">, is a crucial variable that existing free speech doctrine does not adequately address.</w:t>
      </w:r>
    </w:p>
    <w:p>
      <w:pPr>
        <w:numPr>
          <w:ilvl w:val="0"/>
          <w:numId w:val="1019"/>
        </w:numPr>
        <w:pStyle w:val="Compact"/>
      </w:pPr>
      <w:r>
        <w:rPr>
          <w:bCs/>
          <w:b/>
        </w:rPr>
        <w:t xml:space="preserve">AI-generated speech</w:t>
      </w:r>
      <w:r>
        <w:t xml:space="preserve"> </w:t>
      </w:r>
      <w:r>
        <w:t xml:space="preserve">does not fit neatly into Mill's framework, which assumes human speakers with autonomy and dignity. Questions of liability, disclosure, and content restrictions for AI will require extending existing principles in ways that Mill could not have anticipated.</w:t>
      </w:r>
    </w:p>
    <w:bookmarkEnd w:id="82"/>
    <w:bookmarkEnd w:id="83"/>
    <w:bookmarkStart w:id="85" w:name="references"/>
    <w:bookmarkStart w:id="84" w:name="refs-heading"/>
    <w:p>
      <w:pPr>
        <w:pStyle w:val="Heading2"/>
      </w:pPr>
      <w:r>
        <w:t xml:space="preserve">References</w:t>
      </w:r>
    </w:p>
    <w:bookmarkEnd w:id="84"/>
    <w:bookmarkEnd w:id="85"/>
    <w:bookmarkStart w:id="109" w:name="bibliography"/>
    <w:p>
      <w:pPr>
        <w:pStyle w:val="Heading1"/>
      </w:pPr>
      <w:r>
        <w:t xml:space="preserve">References</w:t>
      </w:r>
    </w:p>
    <w:bookmarkStart w:id="108" w:name="refs"/>
    <w:bookmarkStart w:id="87" w:name="ref-amnesty_troll_patrol_2018"/>
    <w:p>
      <w:pPr>
        <w:pStyle w:val="Bibliography"/>
      </w:pPr>
      <w:r>
        <w:t xml:space="preserve">Amnesty International. (2018).</w:t>
      </w:r>
      <w:r>
        <w:t xml:space="preserve"> </w:t>
      </w:r>
      <w:r>
        <w:rPr>
          <w:iCs/>
          <w:i/>
        </w:rPr>
        <w:t xml:space="preserve">Troll patrol findings: Using crowdsourcing, data science and machine learning to measure violence and abuse against women on twitter</w:t>
      </w:r>
      <w:r>
        <w:t xml:space="preserve">. Amnesty International.</w:t>
      </w:r>
      <w:r>
        <w:t xml:space="preserve"> </w:t>
      </w:r>
      <w:hyperlink r:id="rId86">
        <w:r>
          <w:rPr>
            <w:rStyle w:val="Hyperlink"/>
          </w:rPr>
          <w:t xml:space="preserve">https://decoders.amnesty.org/projects/troll-patrol/findings</w:t>
        </w:r>
      </w:hyperlink>
    </w:p>
    <w:bookmarkEnd w:id="87"/>
    <w:bookmarkStart w:id="88" w:name="ref-brandenburg_1969"/>
    <w:p>
      <w:pPr>
        <w:pStyle w:val="Bibliography"/>
      </w:pPr>
      <w:r>
        <w:t xml:space="preserve">Brandenburg v. Ohio. (1969).</w:t>
      </w:r>
      <w:r>
        <w:t xml:space="preserve"> </w:t>
      </w:r>
      <w:r>
        <w:rPr>
          <w:iCs/>
          <w:i/>
        </w:rPr>
        <w:t xml:space="preserve">395 u.s. 444</w:t>
      </w:r>
      <w:r>
        <w:t xml:space="preserve">.</w:t>
      </w:r>
    </w:p>
    <w:bookmarkEnd w:id="88"/>
    <w:bookmarkStart w:id="89" w:name="ref-cda230"/>
    <w:p>
      <w:pPr>
        <w:pStyle w:val="Bibliography"/>
      </w:pPr>
      <w:r>
        <w:rPr>
          <w:iCs/>
          <w:i/>
        </w:rPr>
        <w:t xml:space="preserve">Communications decency act of 1996, section 230</w:t>
      </w:r>
      <w:r>
        <w:t xml:space="preserve">. (1996). 47 U.S.C. § 230.</w:t>
      </w:r>
    </w:p>
    <w:bookmarkEnd w:id="89"/>
    <w:bookmarkStart w:id="90" w:name="ref-dsa2022"/>
    <w:p>
      <w:pPr>
        <w:pStyle w:val="Bibliography"/>
      </w:pPr>
      <w:r>
        <w:rPr>
          <w:iCs/>
          <w:i/>
        </w:rPr>
        <w:t xml:space="preserve">Digital services act</w:t>
      </w:r>
      <w:r>
        <w:t xml:space="preserve">. (2022). European Parliament; Council of the European Union; Regulation (EU) 2022/2065.</w:t>
      </w:r>
    </w:p>
    <w:bookmarkEnd w:id="90"/>
    <w:bookmarkStart w:id="92" w:name="ref-eu_ai_act_2024"/>
    <w:p>
      <w:pPr>
        <w:pStyle w:val="Bibliography"/>
      </w:pPr>
      <w:r>
        <w:t xml:space="preserve">European Union. (2024).</w:t>
      </w:r>
      <w:r>
        <w:t xml:space="preserve"> </w:t>
      </w:r>
      <w:r>
        <w:rPr>
          <w:iCs/>
          <w:i/>
        </w:rPr>
        <w:t xml:space="preserve">Regulation (EU) 2024/1689 of the european parliament and of the council laying down harmonised rules on artificial intelligence (artificial intelligence act)</w:t>
      </w:r>
      <w:r>
        <w:t xml:space="preserve">.</w:t>
      </w:r>
      <w:r>
        <w:t xml:space="preserve"> </w:t>
      </w:r>
      <w:hyperlink r:id="rId91">
        <w:r>
          <w:rPr>
            <w:rStyle w:val="Hyperlink"/>
          </w:rPr>
          <w:t xml:space="preserve">https://eur-lex.europa.eu/eli/reg/2024/1689/oj</w:t>
        </w:r>
      </w:hyperlink>
    </w:p>
    <w:bookmarkEnd w:id="92"/>
    <w:bookmarkStart w:id="93" w:name="ref-eu_digital_omnibus_ai_2026"/>
    <w:p>
      <w:pPr>
        <w:pStyle w:val="Bibliography"/>
      </w:pPr>
      <w:r>
        <w:t xml:space="preserve">European Union. (2026).</w:t>
      </w:r>
      <w:r>
        <w:t xml:space="preserve"> </w:t>
      </w:r>
      <w:r>
        <w:rPr>
          <w:iCs/>
          <w:i/>
        </w:rPr>
        <w:t xml:space="preserve">Regulation (EU) 2026/1744 amending regulation (EU) 2024/1689 (digital omnibus on</w:t>
      </w:r>
      <w:r>
        <w:rPr>
          <w:iCs/>
          <w:i/>
        </w:rPr>
        <w:t xml:space="preserve"> </w:t>
      </w:r>
      <w:r>
        <w:rPr>
          <w:iCs/>
          <w:i/>
        </w:rPr>
        <w:t xml:space="preserve">AI</w:t>
      </w:r>
      <w:r>
        <w:rPr>
          <w:iCs/>
          <w:i/>
        </w:rPr>
        <w:t xml:space="preserve">)</w:t>
      </w:r>
      <w:r>
        <w:t xml:space="preserve">.</w:t>
      </w:r>
    </w:p>
    <w:bookmarkEnd w:id="93"/>
    <w:bookmarkStart w:id="95" w:name="ref-datareportal_digital_2026"/>
    <w:p>
      <w:pPr>
        <w:pStyle w:val="Bibliography"/>
      </w:pPr>
      <w:r>
        <w:t xml:space="preserve">Kemp, S. (2026).</w:t>
      </w:r>
      <w:r>
        <w:t xml:space="preserve"> </w:t>
      </w:r>
      <w:r>
        <w:rPr>
          <w:iCs/>
          <w:i/>
        </w:rPr>
        <w:t xml:space="preserve">Digital 2026: Global overview report</w:t>
      </w:r>
      <w:r>
        <w:t xml:space="preserve">. DataReportal, We Are Social; Meltwater.</w:t>
      </w:r>
      <w:r>
        <w:t xml:space="preserve"> </w:t>
      </w:r>
      <w:hyperlink r:id="rId94">
        <w:r>
          <w:rPr>
            <w:rStyle w:val="Hyperlink"/>
          </w:rPr>
          <w:t xml:space="preserve">https://datareportal.com/reports/digital-2026-global-overview-report</w:t>
        </w:r>
      </w:hyperlink>
    </w:p>
    <w:bookmarkEnd w:id="95"/>
    <w:bookmarkStart w:id="97" w:name="ref-klonick2018governors"/>
    <w:p>
      <w:pPr>
        <w:pStyle w:val="Bibliography"/>
      </w:pPr>
      <w:r>
        <w:t xml:space="preserve">Klonick, K. (2018). The new governors: The people, rules, and processes governing online speech.</w:t>
      </w:r>
      <w:r>
        <w:t xml:space="preserve"> </w:t>
      </w:r>
      <w:r>
        <w:rPr>
          <w:iCs/>
          <w:i/>
        </w:rPr>
        <w:t xml:space="preserve">Harvard Law Review</w:t>
      </w:r>
      <w:r>
        <w:t xml:space="preserve">,</w:t>
      </w:r>
      <w:r>
        <w:t xml:space="preserve"> </w:t>
      </w:r>
      <w:r>
        <w:rPr>
          <w:iCs/>
          <w:i/>
        </w:rPr>
        <w:t xml:space="preserve">131</w:t>
      </w:r>
      <w:r>
        <w:t xml:space="preserve">(6), 1598–1670.</w:t>
      </w:r>
      <w:r>
        <w:t xml:space="preserve"> </w:t>
      </w:r>
      <w:hyperlink r:id="rId96">
        <w:r>
          <w:rPr>
            <w:rStyle w:val="Hyperlink"/>
          </w:rPr>
          <w:t xml:space="preserve">https://harvardlawreview.org/print/vol-131/the-new-governors-the-people-rules-and-processes-governing-online-speech/</w:t>
        </w:r>
      </w:hyperlink>
    </w:p>
    <w:bookmarkEnd w:id="97"/>
    <w:bookmarkStart w:id="98" w:name="ref-mackinnon1993only"/>
    <w:p>
      <w:pPr>
        <w:pStyle w:val="Bibliography"/>
      </w:pPr>
      <w:r>
        <w:t xml:space="preserve">MacKinnon, C. A. (1993).</w:t>
      </w:r>
      <w:r>
        <w:t xml:space="preserve"> </w:t>
      </w:r>
      <w:r>
        <w:rPr>
          <w:iCs/>
          <w:i/>
        </w:rPr>
        <w:t xml:space="preserve">Only words</w:t>
      </w:r>
      <w:r>
        <w:t xml:space="preserve">. Harvard University Press.</w:t>
      </w:r>
    </w:p>
    <w:bookmarkEnd w:id="98"/>
    <w:bookmarkStart w:id="99" w:name="ref-matsuda_words_wound"/>
    <w:p>
      <w:pPr>
        <w:pStyle w:val="Bibliography"/>
      </w:pPr>
      <w:r>
        <w:t xml:space="preserve">Matsuda, M. J., Lawrence, C. R., Delgado, R., &amp; Crenshaw, K. W. (1993).</w:t>
      </w:r>
      <w:r>
        <w:t xml:space="preserve"> </w:t>
      </w:r>
      <w:r>
        <w:rPr>
          <w:iCs/>
          <w:i/>
        </w:rPr>
        <w:t xml:space="preserve">Words that wound: Critical race theory, assaultive speech, and the first amendment</w:t>
      </w:r>
      <w:r>
        <w:t xml:space="preserve">. Westview Press.</w:t>
      </w:r>
    </w:p>
    <w:bookmarkEnd w:id="99"/>
    <w:bookmarkStart w:id="100" w:name="ref-mill1859liberty"/>
    <w:p>
      <w:pPr>
        <w:pStyle w:val="Bibliography"/>
      </w:pPr>
      <w:r>
        <w:t xml:space="preserve">Mill, J. S. (1859).</w:t>
      </w:r>
      <w:r>
        <w:t xml:space="preserve"> </w:t>
      </w:r>
      <w:r>
        <w:rPr>
          <w:iCs/>
          <w:i/>
        </w:rPr>
        <w:t xml:space="preserve">On liberty</w:t>
      </w:r>
      <w:r>
        <w:t xml:space="preserve">. John W. Parker; Son.</w:t>
      </w:r>
    </w:p>
    <w:bookmarkEnd w:id="100"/>
    <w:bookmarkStart w:id="101" w:name="ref-moody_netchoice_2024"/>
    <w:p>
      <w:pPr>
        <w:pStyle w:val="Bibliography"/>
      </w:pPr>
      <w:r>
        <w:t xml:space="preserve">Moody v. NetChoice, LLC. (2024).</w:t>
      </w:r>
      <w:r>
        <w:t xml:space="preserve"> </w:t>
      </w:r>
      <w:r>
        <w:rPr>
          <w:iCs/>
          <w:i/>
        </w:rPr>
        <w:t xml:space="preserve">603 u.s. 707</w:t>
      </w:r>
      <w:r>
        <w:t xml:space="preserve">.</w:t>
      </w:r>
    </w:p>
    <w:bookmarkEnd w:id="101"/>
    <w:bookmarkStart w:id="102" w:name="ref-packingham_2017"/>
    <w:p>
      <w:pPr>
        <w:pStyle w:val="Bibliography"/>
      </w:pPr>
      <w:r>
        <w:t xml:space="preserve">Packingham v. North Carolina. (2017).</w:t>
      </w:r>
      <w:r>
        <w:t xml:space="preserve"> </w:t>
      </w:r>
      <w:r>
        <w:rPr>
          <w:iCs/>
          <w:i/>
        </w:rPr>
        <w:t xml:space="preserve">582 u.s. 98</w:t>
      </w:r>
      <w:r>
        <w:t xml:space="preserve">.</w:t>
      </w:r>
    </w:p>
    <w:bookmarkEnd w:id="102"/>
    <w:bookmarkStart w:id="103" w:name="ref-red_lion_1969"/>
    <w:p>
      <w:pPr>
        <w:pStyle w:val="Bibliography"/>
      </w:pPr>
      <w:r>
        <w:t xml:space="preserve">Red Lion Broadcasting Co. v. FCC. (1969).</w:t>
      </w:r>
      <w:r>
        <w:t xml:space="preserve"> </w:t>
      </w:r>
      <w:r>
        <w:rPr>
          <w:iCs/>
          <w:i/>
        </w:rPr>
        <w:t xml:space="preserve">395 u.s. 367</w:t>
      </w:r>
      <w:r>
        <w:t xml:space="preserve">.</w:t>
      </w:r>
    </w:p>
    <w:bookmarkEnd w:id="103"/>
    <w:bookmarkStart w:id="105" w:name="ref-vosoughi_misinformation"/>
    <w:p>
      <w:pPr>
        <w:pStyle w:val="Bibliography"/>
      </w:pPr>
      <w:r>
        <w:t xml:space="preserve">Vosoughi, S., Roy, D., &amp; Aral, S. (2018). The spread of true and false news online.</w:t>
      </w:r>
      <w:r>
        <w:t xml:space="preserve"> </w:t>
      </w:r>
      <w:r>
        <w:rPr>
          <w:iCs/>
          <w:i/>
        </w:rPr>
        <w:t xml:space="preserve">Science</w:t>
      </w:r>
      <w:r>
        <w:t xml:space="preserve">,</w:t>
      </w:r>
      <w:r>
        <w:t xml:space="preserve"> </w:t>
      </w:r>
      <w:r>
        <w:rPr>
          <w:iCs/>
          <w:i/>
        </w:rPr>
        <w:t xml:space="preserve">359</w:t>
      </w:r>
      <w:r>
        <w:t xml:space="preserve">(6380), 1146–1151.</w:t>
      </w:r>
      <w:r>
        <w:t xml:space="preserve"> </w:t>
      </w:r>
      <w:hyperlink r:id="rId104">
        <w:r>
          <w:rPr>
            <w:rStyle w:val="Hyperlink"/>
          </w:rPr>
          <w:t xml:space="preserve">https://doi.org/10.1126/science.aap9559</w:t>
        </w:r>
      </w:hyperlink>
    </w:p>
    <w:bookmarkEnd w:id="105"/>
    <w:bookmarkStart w:id="106" w:name="ref-waldron2012harm"/>
    <w:p>
      <w:pPr>
        <w:pStyle w:val="Bibliography"/>
      </w:pPr>
      <w:r>
        <w:t xml:space="preserve">Waldron, J. (2012).</w:t>
      </w:r>
      <w:r>
        <w:t xml:space="preserve"> </w:t>
      </w:r>
      <w:r>
        <w:rPr>
          <w:iCs/>
          <w:i/>
        </w:rPr>
        <w:t xml:space="preserve">The harm in hate speech</w:t>
      </w:r>
      <w:r>
        <w:t xml:space="preserve">. Harvard University Press.</w:t>
      </w:r>
    </w:p>
    <w:bookmarkEnd w:id="106"/>
    <w:bookmarkStart w:id="107" w:name="ref-whitney_1927"/>
    <w:p>
      <w:pPr>
        <w:pStyle w:val="Bibliography"/>
      </w:pPr>
      <w:r>
        <w:t xml:space="preserve">Whitney v. California. (1927).</w:t>
      </w:r>
      <w:r>
        <w:t xml:space="preserve"> </w:t>
      </w:r>
      <w:r>
        <w:rPr>
          <w:iCs/>
          <w:i/>
        </w:rPr>
        <w:t xml:space="preserve">274 u.s. 357</w:t>
      </w:r>
      <w:r>
        <w:t xml:space="preserve">.</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10" w:before="40"/>
    </w:pPr>
    <w:rPr>
      <w:b/>
      <w:color w:val="002855"/>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efinitionBox" w:type="paragraph">
    <w:pPr>
      <w:shd w:color="auto" w:fill="F0F6FF" w:val="clear"/>
      <w:pBdr>
        <w:top w:color="1A4A8A" w:space="4" w:sz="12" w:val="single"/>
        <w:left w:color="1A4A8A" w:space="4" w:sz="12" w:val="single"/>
        <w:bottom w:color="1A4A8A" w:space="4" w:sz="12" w:val="single"/>
        <w:right w:color="1A4A8A" w:space="4" w:sz="12" w:val="single"/>
      </w:pBdr>
      <w:ind w:left="144"/>
      <w:spacing w:after="60" w:before="60"/>
    </w:pPr>
    <w:name w:val="Definition Box"/>
    <w:basedOn w:val="Normal"/>
    <w:rPr>
      <w:rFonts w:ascii="Calibri" w:hAnsi="Calibri"/>
      <w:color w:val="1A1A1A"/>
      <w:sz w:val="22"/>
    </w:rPr>
  </w:style>
  <w:style w:customStyle="1" w:styleId="ArgumentBox" w:type="paragraph">
    <w:pPr>
      <w:shd w:color="auto" w:fill="F0F6FF" w:val="clear"/>
      <w:pBdr>
        <w:left w:color="1A4A8A" w:space="6" w:sz="24" w:val="single"/>
      </w:pBdr>
      <w:ind w:left="144"/>
      <w:spacing w:after="60" w:before="60"/>
    </w:pPr>
    <w:name w:val="Argument Box"/>
    <w:basedOn w:val="Normal"/>
    <w:rPr>
      <w:rFonts w:ascii="Calibri" w:hAnsi="Calibri"/>
      <w:color w:val="1A1A1A"/>
      <w:sz w:val="22"/>
    </w:rPr>
  </w:style>
  <w:style w:customStyle="1" w:styleId="KeyThinker" w:type="paragraph">
    <w:pPr>
      <w:shd w:color="auto" w:fill="FAF0FF" w:val="clear"/>
      <w:pBdr>
        <w:left w:color="6A1B9A" w:space="6" w:sz="24" w:val="single"/>
      </w:pBdr>
      <w:ind w:left="144"/>
      <w:spacing w:after="60" w:before="60"/>
    </w:pPr>
    <w:name w:val="Key Thinker"/>
    <w:basedOn w:val="Normal"/>
    <w:rPr>
      <w:rFonts w:ascii="Calibri" w:hAnsi="Calibri"/>
      <w:color w:val="1A1A1A"/>
      <w:sz w:val="22"/>
    </w:rPr>
  </w:style>
  <w:style w:customStyle="1" w:styleId="CaseStudy" w:type="paragraph">
    <w:pPr>
      <w:shd w:color="auto" w:fill="FFFBF0" w:val="clear"/>
      <w:pBdr>
        <w:left w:color="C8961C" w:space="6" w:sz="24" w:val="single"/>
      </w:pBdr>
      <w:ind w:left="144"/>
      <w:spacing w:after="60" w:before="60"/>
    </w:pPr>
    <w:name w:val="Case Study"/>
    <w:basedOn w:val="Normal"/>
    <w:rPr>
      <w:rFonts w:ascii="Calibri" w:hAnsi="Calibri"/>
      <w:color w:val="1A1A1A"/>
      <w:sz w:val="22"/>
    </w:rPr>
  </w:style>
  <w:style w:customStyle="1" w:styleId="ProArgument" w:type="paragraph">
    <w:pPr>
      <w:shd w:color="auto" w:fill="F4FFF4" w:val="clear"/>
      <w:pBdr>
        <w:left w:color="2E7D32" w:space="6" w:sz="24" w:val="single"/>
      </w:pBdr>
      <w:ind w:left="144"/>
      <w:spacing w:after="60" w:before="60"/>
    </w:pPr>
    <w:name w:val="Pro Argument"/>
    <w:basedOn w:val="Normal"/>
    <w:rPr>
      <w:rFonts w:ascii="Calibri" w:hAnsi="Calibri"/>
      <w:color w:val="1A1A1A"/>
      <w:sz w:val="22"/>
    </w:rPr>
  </w:style>
  <w:style w:customStyle="1" w:styleId="Objection" w:type="paragraph">
    <w:pPr>
      <w:shd w:color="auto" w:fill="FFF5F5" w:val="clear"/>
      <w:pBdr>
        <w:left w:color="C62828" w:space="6" w:sz="24" w:val="single"/>
      </w:pBdr>
      <w:ind w:left="144"/>
      <w:spacing w:after="60" w:before="60"/>
    </w:pPr>
    <w:name w:val="Objection"/>
    <w:basedOn w:val="Normal"/>
    <w:rPr>
      <w:rFonts w:ascii="Calibri" w:hAnsi="Calibri"/>
      <w:color w:val="1A1A1A"/>
      <w:sz w:val="22"/>
    </w:rPr>
  </w:style>
  <w:style w:customStyle="1" w:styleId="ThoughtQuestions" w:type="paragraph">
    <w:pPr>
      <w:shd w:color="auto" w:fill="FFFBF0" w:val="clear"/>
      <w:pBdr>
        <w:left w:color="C8961C" w:space="6" w:sz="24" w:val="single"/>
      </w:pBdr>
      <w:ind w:left="144"/>
      <w:spacing w:after="60" w:before="60"/>
    </w:pPr>
    <w:name w:val="Thought Questions"/>
    <w:basedOn w:val="Normal"/>
    <w:rPr>
      <w:rFonts w:ascii="Calibri" w:hAnsi="Calibri"/>
      <w:color w:val="1A1A1A"/>
      <w:sz w:val="22"/>
    </w:rPr>
  </w:style>
  <w:style w:customStyle="1" w:styleId="KeyPoints" w:type="paragraph">
    <w:pPr>
      <w:shd w:color="auto" w:fill="F4FFF4" w:val="clear"/>
      <w:pBdr>
        <w:left w:color="2E7D32" w:space="6" w:sz="24" w:val="single"/>
      </w:pBdr>
      <w:ind w:left="144"/>
      <w:spacing w:after="60" w:before="60"/>
    </w:pPr>
    <w:name w:val="Key Points"/>
    <w:basedOn w:val="Normal"/>
    <w:rPr>
      <w:rFonts w:ascii="Calibri" w:hAnsi="Calibri"/>
      <w:color w:val="1A1A1A"/>
      <w:sz w:val="22"/>
    </w:rPr>
  </w:style>
  <w:style w:customStyle="1" w:styleId="CentralQuestions" w:type="paragraph">
    <w:pPr>
      <w:shd w:color="auto" w:fill="F0F6FF" w:val="clear"/>
      <w:pBdr>
        <w:left w:color="1A4A8A" w:space="6" w:sz="24" w:val="single"/>
      </w:pBdr>
      <w:ind w:left="144"/>
      <w:spacing w:after="60" w:before="60"/>
    </w:pPr>
    <w:name w:val="Central Questions"/>
    <w:basedOn w:val="Normal"/>
    <w:rPr>
      <w:rFonts w:ascii="Calibri" w:hAnsi="Calibri"/>
      <w:color w:val="1A1A1A"/>
      <w:sz w:val="22"/>
    </w:rPr>
  </w:style>
  <w:style w:customStyle="1" w:styleId="BlockQuote" w:type="paragraph">
    <w:pPr>
      <w:shd w:color="auto" w:fill="F8F9FA" w:val="clear"/>
      <w:pBdr>
        <w:left w:color="546E7A" w:space="6" w:sz="24" w:val="single"/>
      </w:pBdr>
      <w:ind w:left="144"/>
      <w:spacing w:after="60" w:before="60"/>
    </w:pPr>
    <w:name w:val="Block Quote"/>
    <w:basedOn w:val="Normal"/>
    <w:rPr>
      <w:rFonts w:ascii="Calibri" w:hAnsi="Calibri"/>
      <w:color w:val="1A1A1A"/>
      <w:sz w:val="22"/>
    </w:rPr>
  </w:style>
  <w:style w:customStyle="1" w:styleId="BoxLabel" w:type="paragraph">
    <w:pPr>
      <w:spacing w:after="30" w:before="0"/>
    </w:pPr>
    <w:name w:val="Box Label"/>
    <w:basedOn w:val="Normal"/>
    <w:rPr>
      <w:rFonts w:ascii="Calibri" w:hAnsi="Calibri"/>
      <w:b/>
      <w:caps/>
      <w:color w:val="546E7A"/>
      <w:sz w:val="17"/>
    </w:rPr>
  </w:style>
  <w:style w:customStyle="1" w:styleId="BoxTitle" w:type="paragraph">
    <w:pPr>
      <w:spacing w:after="40" w:before="30"/>
    </w:pPr>
    <w:name w:val="Box Title"/>
    <w:basedOn w:val="Normal"/>
    <w:rPr>
      <w:rFonts w:ascii="Calibri" w:hAnsi="Calibri"/>
      <w:b/>
      <w:color w:val="002855"/>
      <w:sz w:val="23"/>
    </w:rPr>
  </w:style>
  <w:style w:customStyle="1" w:styleId="DefinitionBody" w:type="paragraph">
    <w:pPr>
      <w:ind w:left="180"/>
      <w:spacing w:after="40" w:before="0"/>
    </w:pPr>
    <w:name w:val="Definition Body"/>
    <w:basedOn w:val="Normal"/>
    <w:rPr>
      <w:rFonts w:ascii="Calibri" w:hAnsi="Calibri"/>
      <w:color w:val="1A1A1A"/>
      <w:sz w:val="22"/>
    </w:rPr>
  </w:style>
  <w:style w:customStyle="1" w:styleId="ArgumentConclusion" w:type="paragraph">
    <w:pPr>
      <w:ind w:left="180"/>
      <w:spacing w:after="40" w:before="40"/>
    </w:pPr>
    <w:name w:val="Argument Conclusion"/>
    <w:basedOn w:val="Normal"/>
    <w:rPr>
      <w:rFonts w:ascii="Calibri" w:hAnsi="Calibri"/>
      <w:b/>
      <w:color w:val="002855"/>
      <w:sz w:val="22"/>
    </w:rPr>
  </w:style>
  <w:style w:customStyle="1" w:styleId="ChapterEyebrow" w:type="paragraph">
    <w:pPr>
      <w:spacing w:after="20" w:before="0"/>
    </w:pPr>
    <w:name w:val="Chapter Eyebrow"/>
    <w:basedOn w:val="Normal"/>
    <w:rPr>
      <w:rFonts w:ascii="Calibri" w:hAnsi="Calibri"/>
      <w:b/>
      <w:caps/>
      <w:color w:val="1A4A8A"/>
      <w:sz w:val="20"/>
    </w:rPr>
  </w:style>
  <w:style w:customStyle="1" w:styleId="ChapterSubtitle" w:type="paragraph">
    <w:pPr>
      <w:spacing w:after="120" w:before="20"/>
    </w:pPr>
    <w:name w:val="Chapter Subtitle"/>
    <w:basedOn w:val="Normal"/>
    <w:rPr>
      <w:rFonts w:ascii="Calibri" w:hAnsi="Calibri"/>
      <w:i/>
      <w:color w:val="546E7A"/>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jpg" /><Relationship Type="http://schemas.openxmlformats.org/officeDocument/2006/relationships/image" Id="rId35" Target="media/rId35.png" /><Relationship Type="http://schemas.openxmlformats.org/officeDocument/2006/relationships/image" Id="rId61" Target="media/rId61.png" /><Relationship Type="http://schemas.openxmlformats.org/officeDocument/2006/relationships/hyperlink" Id="rId94" Target="https://datareportal.com/reports/digital-2026-global-overview-report" TargetMode="External" /><Relationship Type="http://schemas.openxmlformats.org/officeDocument/2006/relationships/hyperlink" Id="rId86" Target="https://decoders.amnesty.org/projects/troll-patrol/findings" TargetMode="External" /><Relationship Type="http://schemas.openxmlformats.org/officeDocument/2006/relationships/hyperlink" Id="rId104" Target="https://doi.org/10.1126/science.aap9559" TargetMode="External" /><Relationship Type="http://schemas.openxmlformats.org/officeDocument/2006/relationships/hyperlink" Id="rId91" Target="https://eur-lex.europa.eu/eli/reg/2024/1689/oj" TargetMode="External" /><Relationship Type="http://schemas.openxmlformats.org/officeDocument/2006/relationships/hyperlink" Id="rId96" Target="https://harvardlawreview.org/print/vol-131/the-new-governors-the-people-rules-and-processes-governing-online-speech/" TargetMode="External" /></Relationships>
</file>

<file path=word/_rels/footnotes.xml.rels><?xml version="1.0" encoding="UTF-8"?><Relationships xmlns="http://schemas.openxmlformats.org/package/2006/relationships"><Relationship Type="http://schemas.openxmlformats.org/officeDocument/2006/relationships/hyperlink" Id="rId94" Target="https://datareportal.com/reports/digital-2026-global-overview-report" TargetMode="External" /><Relationship Type="http://schemas.openxmlformats.org/officeDocument/2006/relationships/hyperlink" Id="rId86" Target="https://decoders.amnesty.org/projects/troll-patrol/findings" TargetMode="External" /><Relationship Type="http://schemas.openxmlformats.org/officeDocument/2006/relationships/hyperlink" Id="rId104" Target="https://doi.org/10.1126/science.aap9559" TargetMode="External" /><Relationship Type="http://schemas.openxmlformats.org/officeDocument/2006/relationships/hyperlink" Id="rId91" Target="https://eur-lex.europa.eu/eli/reg/2024/1689/oj" TargetMode="External" /><Relationship Type="http://schemas.openxmlformats.org/officeDocument/2006/relationships/hyperlink" Id="rId96" Target="https://harvardlawreview.org/print/vol-131/the-new-governors-the-people-rules-and-processes-governing-online-spe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Freedom of Speech in the Digital Age | Computing &amp; AI Ethics</dc:title>
  <dc:creator>Brendan Shea, PhD</dc:creator>
  <dc:description>Mill's harm principle, the marketplace of ideas, social media platforms, hate speech, and AI-generated content — examined through the lens of free expression philosophy.</dc:description>
  <dc:language>en</dc:language>
  <cp:keywords/>
  <dcterms:created xsi:type="dcterms:W3CDTF">2026-07-31T16:18:50Z</dcterms:created>
  <dcterms:modified xsi:type="dcterms:W3CDTF">2026-07-31T16:18:50Z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/home/user/computing_ai_ethics/refs.bib</vt:lpwstr>
  </property>
  <property fmtid="{D5CDD505-2E9C-101B-9397-08002B2CF9AE}" pid="3" name="csl">
    <vt:lpwstr>/home/user/computing_ai_ethics/apa.csl</vt:lpwstr>
  </property>
  <property fmtid="{D5CDD505-2E9C-101B-9397-08002B2CF9AE}" pid="4" name="reference-section-title">
    <vt:lpwstr>References</vt:lpwstr>
  </property>
  <property fmtid="{D5CDD505-2E9C-101B-9397-08002B2CF9AE}" pid="5" name="viewport">
    <vt:lpwstr>width=device-width, initial-scale=1.0</vt:lpwstr>
  </property>
</Properties>
</file>