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Trace the Moore-predict procedure by hand, but with a doubling period of 3 years instead of 2. Start at 2,300 transistors in 1971. In what year does the count first pass 100 billion? Roughly how many years later is that than the original 2-year prediction?</w:t>
      </w:r>
    </w:p>
    <w:p>
      <w:pPr>
        <w:pStyle w:val="Compact"/>
        <w:numPr>
          <w:ilvl w:val="0"/>
          <w:numId w:val="1007"/>
        </w:numPr>
      </w:pPr>
      <w:r>
        <w:t xml:space="preserve">Apply the</w:t>
      </w:r>
      <w:r>
        <w:t xml:space="preserve"> </w:t>
      </w:r>
      <w:r>
        <w:rPr>
          <w:rStyle w:val="VerbatimChar"/>
        </w:rPr>
        <w:t xml:space="preserve">reach</w:t>
      </w:r>
      <w:r>
        <w:t xml:space="preserve"> </w:t>
      </w:r>
      <w:r>
        <w:t xml:space="preserve">rule for FP32 floats (4 bytes each) instead of single bytes. About how many FP32 numbers fit in a 16 GB GPU? How many FP16 numbers (2 bytes each)? How many FP8 (1 byte each)?</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Huawei is expected to respond with its own version within a year. Do you publish the rule? Why?</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2026-05-22T13:20:07Z</dcterms:created>
  <dcterms:modified xsi:type="dcterms:W3CDTF">2026-05-22T13:20:07Z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