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2026-06-01</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the better part of a century.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Lovelace insisted that</w:t>
      </w:r>
      <w:r>
        <w:t xml:space="preserve"> </w:t>
      </w:r>
      <w:r>
        <w:rPr>
          <w:i/>
          <w:iCs/>
        </w:rPr>
        <w:t xml:space="preserve">designing</w:t>
      </w:r>
      <w:r>
        <w:t xml:space="preserve"> </w:t>
      </w:r>
      <w:r>
        <w:t xml:space="preserve">a procedure was the original work and that the machine’s execution was only the carrying-out. Use an example from outside computing — a recipe being cooked, a piece of music being performed, an athlete following a coach’s plan — to argue for or against her view. Where in your example does the</w:t>
      </w:r>
      <w:r>
        <w:t xml:space="preserve"> </w:t>
      </w:r>
      <w:r>
        <w:t xml:space="preserve">“originating”</w:t>
      </w:r>
      <w:r>
        <w:t xml:space="preserve"> </w:t>
      </w:r>
      <w:r>
        <w:t xml:space="preserve">actually happen?</w:t>
      </w:r>
    </w:p>
    <w:p>
      <w:pPr>
        <w:pStyle w:val="Compact"/>
        <w:numPr>
          <w:ilvl w:val="0"/>
          <w:numId w:val="1009"/>
        </w:numPr>
      </w:pPr>
      <w:r>
        <w:t xml:space="preserve">Lovelace was schooled in mathematics partly to keep her from her father’s temperament, published under her initials, and was barred from the Royal Society her whole life. Turing was prosecuted for his sexuality and may have died by suicide as a result. Pick one of them. Does the institutional and personal context they worked inside change how you should read their technical argument about machines? What would you lose by treating the work as separable from the life?</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2026-06-02T14:28:23Z</dcterms:created>
  <dcterms:modified xsi:type="dcterms:W3CDTF">2026-06-02T14:28:23Z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