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2026-05-25</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titled</w:t>
      </w:r>
      <w:r>
        <w:t xml:space="preserve"> </w:t>
      </w:r>
      <w:r>
        <w:rPr>
          <w:i/>
          <w:iCs/>
        </w:rPr>
        <w:t xml:space="preserve">The Nine Lives of ImageNet</w:t>
      </w:r>
      <w:r>
        <w:t xml:space="preserve"> </w:t>
      </w:r>
      <w:r>
        <w:t xml:space="preserve">argues that this is the deep lesson of the whole episode: you cannot fix a dataset whose central operation, labeling a person by visual category, was the thing under critique</w:t>
      </w:r>
      <w:r>
        <w:t xml:space="preserve"> </w:t>
      </w:r>
      <w:r>
        <w:t xml:space="preserve">(Denton et al. 2024)</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Take the</w:t>
      </w:r>
      <w:r>
        <w:t xml:space="preserve"> </w:t>
      </w:r>
      <w:r>
        <w:rPr>
          <w:rStyle w:val="VerbatimChar"/>
        </w:rPr>
        <w:t xml:space="preserve">Person</w:t>
      </w:r>
      <w:r>
        <w:t xml:space="preserve"> </w:t>
      </w:r>
      <w:r>
        <w:t xml:space="preserve">dict from Implementation 1 in</w:t>
      </w:r>
      <w:r>
        <w:t xml:space="preserve"> </w:t>
      </w:r>
      <w:r>
        <w:t xml:space="preserve">“How It Worked.”</w:t>
      </w:r>
      <w:r>
        <w:t xml:space="preserve"> </w:t>
      </w:r>
      <w:r>
        <w:t xml:space="preserve">Rewrite it so it can also store someone who uses one name only (for example, a person named</w:t>
      </w:r>
      <w:r>
        <w:t xml:space="preserve"> </w:t>
      </w:r>
      <w:r>
        <w:t xml:space="preserve">“Madonna”</w:t>
      </w:r>
      <w:r>
        <w:t xml:space="preserve">). What did you change? Now write a</w:t>
      </w:r>
      <w:r>
        <w:t xml:space="preserve"> </w:t>
      </w:r>
      <w:r>
        <w:rPr>
          <w:rStyle w:val="VerbatimChar"/>
        </w:rPr>
        <w:t xml:space="preserve">display_name(person)</w:t>
      </w:r>
      <w:r>
        <w:t xml:space="preserve"> </w:t>
      </w:r>
      <w:r>
        <w:t xml:space="preserve">function that works for both the old and the new records.</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Emily Denton et al.,</w:t>
      </w:r>
      <w:r>
        <w:t xml:space="preserve"> </w:t>
      </w:r>
      <w:r>
        <w:t xml:space="preserve">“The Nine Lives of ImageNet: A Sociotechnical Retrospective”</w:t>
      </w:r>
      <w:r>
        <w:t xml:space="preserve"> </w:t>
      </w:r>
      <w:r>
        <w:t xml:space="preserve">(2024) — the long retrospective on what the ImageNet cleanups did, what they could not do, and why</w:t>
      </w:r>
      <w:r>
        <w:t xml:space="preserve"> </w:t>
      </w:r>
      <w:r>
        <w:t xml:space="preserve">(Denton et al. 2024)</w:t>
      </w:r>
      <w:r>
        <w:t xml:space="preserve">.</w:t>
      </w:r>
    </w:p>
    <w:bookmarkEnd w:id="16"/>
    <w:bookmarkStart w:id="36" w:name="references"/>
    <w:p>
      <w:pPr>
        <w:pStyle w:val="Heading2"/>
      </w:pPr>
      <w:r>
        <w:t xml:space="preserve">References</w:t>
      </w:r>
    </w:p>
    <w:bookmarkStart w:id="35"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7" w:name="ref-denton2024"/>
    <w:p>
      <w:pPr>
        <w:pStyle w:val="Bibliography"/>
      </w:pPr>
      <w:r>
        <w:t xml:space="preserve">Denton, Emily, Alex Hanna, Razvan Amironesei, Andrew Smart, and Hilary Nicole.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Proceedings of Machine Learning Research — Data Studies</w:t>
      </w:r>
      <w:r>
        <w:t xml:space="preserve">.</w:t>
      </w:r>
    </w:p>
    <w:bookmarkEnd w:id="27"/>
    <w:bookmarkStart w:id="29"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8">
        <w:r>
          <w:rPr>
            <w:rStyle w:val="Hyperlink"/>
          </w:rPr>
          <w:t xml:space="preserve">https://www.theguardian.com/technology/2015/feb/16/facebook-real-name-policy-indigenous-users</w:t>
        </w:r>
      </w:hyperlink>
      <w:r>
        <w:t xml:space="preserve">.</w:t>
      </w:r>
    </w:p>
    <w:bookmarkEnd w:id="29"/>
    <w:bookmarkStart w:id="31"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0">
        <w:r>
          <w:rPr>
            <w:rStyle w:val="Hyperlink"/>
          </w:rPr>
          <w:t xml:space="preserve">https://doi.org/10.1145/3274357</w:t>
        </w:r>
      </w:hyperlink>
      <w:r>
        <w:t xml:space="preserve">.</w:t>
      </w:r>
    </w:p>
    <w:bookmarkEnd w:id="31"/>
    <w:bookmarkStart w:id="32"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2"/>
    <w:bookmarkStart w:id="34"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3">
        <w:r>
          <w:rPr>
            <w:rStyle w:val="Hyperlink"/>
          </w:rPr>
          <w:t xml:space="preserve">https://www.kalzumeus.com/2010/06/17/falsehoods-programmers-believe-about-names/</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2026-05-26T01:57:50Z</dcterms:created>
  <dcterms:modified xsi:type="dcterms:W3CDTF">2026-05-26T01:57:50Z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2026-05-25</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