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w:t>
      </w:r>
    </w:p>
    <w:p>
      <w:pPr>
        <w:pStyle w:val="BodyText"/>
      </w:pPr>
      <w:r>
        <w:rPr>
          <w:b/>
          <w:bCs/>
        </w:rPr>
        <w:t xml:space="preserve">A caveat Git has had to live with.</w:t>
      </w:r>
      <w:r>
        <w:t xml:space="preserve"> </w:t>
      </w:r>
      <w:r>
        <w:t xml:space="preserve">The last property you want from a hash — that nobody can</w:t>
      </w:r>
      <w:r>
        <w:t xml:space="preserve"> </w:t>
      </w:r>
      <w:r>
        <w:rPr>
          <w:i/>
          <w:iCs/>
        </w:rPr>
        <w:t xml:space="preserve">manufacture</w:t>
      </w:r>
      <w:r>
        <w:t xml:space="preserve"> </w:t>
      </w:r>
      <w:r>
        <w:t xml:space="preserve">two different files with the same fingerprint — is the one SHA-1 no longer has. In 2017 a Google and CWI team produced the first real SHA-1 collision (the</w:t>
      </w:r>
      <w:r>
        <w:t xml:space="preserve"> </w:t>
      </w:r>
      <w:r>
        <w:t xml:space="preserve">“SHAttered”</w:t>
      </w:r>
      <w:r>
        <w:t xml:space="preserve"> </w:t>
      </w:r>
      <w:r>
        <w:t xml:space="preserve">attack), and a 2020 result made chosen-prefix collisions cheap enough to rent. Git’s answer was two-fold: it ships a hardened SHA-1 that detects the known collision technique and refuses the object, and the format now supports SHA-256 repositories for projects that want to migrate. So the ledger below still holds in practice — but because of active patching, not because SHA-1 was strong enough. Cryptographic assumptions expire; you will meet this idea again in Notebook 11.</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2026-08-20T15:31:07Z</dcterms:created>
  <dcterms:modified xsi:type="dcterms:W3CDTF">2026-08-20T15:31:07Z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