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2019–2025);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 Silicon,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about 60% of the world’s chips by foundry revenue</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w:t>
            </w:r>
          </w:p>
        </w:tc>
        <w:tc>
          <w:tcPr/>
          <w:p>
            <w:pPr>
              <w:pStyle w:val="Compact"/>
            </w:pPr>
            <w:r>
              <w:t xml:space="preserve">≈ 38 million</w:t>
            </w:r>
          </w:p>
        </w:tc>
        <w:tc>
          <w:tcPr/>
          <w:p>
            <w:pPr>
              <w:pStyle w:val="Compact"/>
            </w:pPr>
            <w:r>
              <w:t xml:space="preserve">≈ 9.5 million</w:t>
            </w:r>
          </w:p>
        </w:tc>
      </w:tr>
      <w:tr>
        <w:tc>
          <w:tcPr/>
          <w:p>
            <w:pPr>
              <w:pStyle w:val="Compact"/>
            </w:pPr>
            <w:r>
              <w:t xml:space="preserve">2010</w:t>
            </w:r>
          </w:p>
        </w:tc>
        <w:tc>
          <w:tcPr/>
          <w:p>
            <w:pPr>
              <w:pStyle w:val="Compact"/>
            </w:pPr>
            <w:r>
              <w:t xml:space="preserve">Intel Sandy Bridge</w:t>
            </w:r>
          </w:p>
        </w:tc>
        <w:tc>
          <w:tcPr/>
          <w:p>
            <w:pPr>
              <w:pStyle w:val="Compact"/>
            </w:pPr>
            <w:r>
              <w:t xml:space="preserve">≈ 1.2 billion</w:t>
            </w:r>
          </w:p>
        </w:tc>
        <w:tc>
          <w:tcPr/>
          <w:p>
            <w:pPr>
              <w:pStyle w:val="Compact"/>
            </w:pPr>
            <w:r>
              <w:t xml:space="preserve">≈ 1.17 billion</w:t>
            </w:r>
          </w:p>
        </w:tc>
      </w:tr>
      <w:tr>
        <w:tc>
          <w:tcPr/>
          <w:p>
            <w:pPr>
              <w:pStyle w:val="Compact"/>
            </w:pPr>
            <w:r>
              <w:t xml:space="preserve">2024</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tracked Moore’s prediction surprisingly well for half a century.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2025, only one — TSMC — is making the very latest chips in volume.</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step up the staircase is not a doubling of the previous reach. It is a</w:t>
      </w:r>
      <w:r>
        <w:t xml:space="preserve"> </w:t>
      </w:r>
      <w:r>
        <w:rPr>
          <w:i/>
          <w:iCs/>
        </w:rPr>
        <w:t xml:space="preserve">squaring</w:t>
      </w:r>
      <w:r>
        <w:t xml:space="preserve"> </w:t>
      </w:r>
      <w:r>
        <w:t xml:space="preserve">of it:</w:t>
      </w:r>
    </w:p>
    <w:tbl>
      <w:tblPr>
        <w:tblStyle w:val="Table"/>
        <w:tblW w:type="pct" w:w="5000"/>
        <w:tblLayout w:type="fixed"/>
        <w:tblLook w:firstRow="1" w:lastRow="0" w:firstColumn="0" w:lastColumn="0" w:noHBand="0" w:noVBand="0" w:val="0020"/>
      </w:tblPr>
      <w:tblGrid>
        <w:gridCol w:w="950"/>
        <w:gridCol w:w="3168"/>
        <w:gridCol w:w="3801"/>
      </w:tblGrid>
      <w:tr>
        <w:trPr>
          <w:tblHeader w:val="on"/>
        </w:trPr>
        <w:tc>
          <w:tcPr/>
          <w:p>
            <w:pPr>
              <w:pStyle w:val="Compact"/>
            </w:pPr>
            <w:r>
              <w:t xml:space="preserve">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Atari 2600, the Apple II family</w:t>
            </w:r>
          </w:p>
        </w:tc>
      </w:tr>
      <w:tr>
        <w:tc>
          <w:tcPr/>
          <w:p>
            <w:pPr>
              <w:pStyle w:val="Compact"/>
            </w:pPr>
            <w:r>
              <w:t xml:space="preserve">16-bit</w:t>
            </w:r>
          </w:p>
        </w:tc>
        <w:tc>
          <w:tcPr/>
          <w:p>
            <w:pPr>
              <w:pStyle w:val="Compact"/>
            </w:pPr>
            <w:r>
              <w:t xml:space="preserve">64 KB</w:t>
            </w:r>
          </w:p>
        </w:tc>
        <w:tc>
          <w:tcPr/>
          <w:p>
            <w:pPr>
              <w:pStyle w:val="Compact"/>
            </w:pPr>
            <w:r>
              <w:t xml:space="preserve">The original IBM PC</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The 1970s microprocessors lived inside 8-bit and 16-bit windows.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Two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now under construction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Three things are simultaneously true:</w:t>
      </w:r>
    </w:p>
    <w:p>
      <w:pPr>
        <w:pStyle w:val="Compact"/>
        <w:numPr>
          <w:ilvl w:val="0"/>
          <w:numId w:val="1006"/>
        </w:numPr>
      </w:pPr>
      <w:r>
        <w:t xml:space="preserve">The export controls have, in fact, slowed the very top end of Chinese AI compute. The fastest chips legally available in China lag the global frontier by a generation.</w:t>
      </w:r>
    </w:p>
    <w:p>
      <w:pPr>
        <w:pStyle w:val="Compact"/>
        <w:numPr>
          <w:ilvl w:val="0"/>
          <w:numId w:val="1006"/>
        </w:numPr>
      </w:pPr>
      <w:r>
        <w:t xml:space="preserve">They have not stopped the frontier. Huawei is making 7nm chips. DeepSeek-class models are being trained on permitted hardware. A government willing to spend $150 billion is generating its own capability.</w:t>
      </w:r>
    </w:p>
    <w:p>
      <w:pPr>
        <w:pStyle w:val="Compact"/>
        <w:numPr>
          <w:ilvl w:val="0"/>
          <w:numId w:val="1006"/>
        </w:numPr>
      </w:pPr>
      <w:r>
        <w:t xml:space="preserve">TSMC’s Arizona fab is years behind schedule and costs billions more than its Taiwan equivalents. The duplication the controls implicitly demand is expensive enough to test the political will that produced them.</w:t>
      </w:r>
    </w:p>
    <w:p>
      <w:pPr>
        <w:pStyle w:val="FirstParagraph"/>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at a cost we do not yet know how to count. The question they were meant to settle — whether advanced compute should be a national-security strategic asset at all — is still open.</w:t>
      </w:r>
    </w:p>
    <w:bookmarkEnd w:id="12"/>
    <w:bookmarkEnd w:id="13"/>
    <w:bookmarkStart w:id="14" w:name="discussion-questions"/>
    <w:p>
      <w:pPr>
        <w:pStyle w:val="Heading2"/>
      </w:pPr>
      <w:r>
        <w:t xml:space="preserve">Discussion Questions</w:t>
      </w:r>
    </w:p>
    <w:p>
      <w:pPr>
        <w:pStyle w:val="Compact"/>
        <w:numPr>
          <w:ilvl w:val="0"/>
          <w:numId w:val="1007"/>
        </w:numPr>
      </w:pPr>
      <w:r>
        <w:t xml:space="preserve">Moore’s Law was a prediction that became a target — the industry organized itself for sixty years to make the prediction come true. Pick another field (sports records, life expectancy, internet speed, anything) where a forecast or schedule seems to have become self-fulfilling in this way. What did the field gain by committing to the target, and what got distorted because of it?</w:t>
      </w:r>
    </w:p>
    <w:p>
      <w:pPr>
        <w:pStyle w:val="Compact"/>
        <w:numPr>
          <w:ilvl w:val="0"/>
          <w:numId w:val="1007"/>
        </w:numPr>
      </w:pPr>
      <w:r>
        <w:t xml:space="preserve">Explain to a friend who knows nothing about chips why a country might treat one company (TSMC) as more strategically important than several of its own military bases. Use plain words and no jargon. What is the single fact your friend has to accept before the rest of your explanation makes sense?</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in March 2026. Your draft rule restricts a new chip — and a parallel rule tightens visa scrutiny for Chinese graduate students in semiconductor research at U.S. universities. Most of those students have no link to Chinese military programs. Do you publish both rules together, split them apart, or pull the visa rule entirely? Defend your choice.</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2026-06-03T13:25:37Z</dcterms:created>
  <dcterms:modified xsi:type="dcterms:W3CDTF">2026-06-03T13:25:37Z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