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Explain to a friend with no programming background what a</w:t>
      </w:r>
      <w:r>
        <w:t xml:space="preserve"> </w:t>
      </w:r>
      <w:r>
        <w:t xml:space="preserve">“race condition”</w:t>
      </w:r>
      <w:r>
        <w:t xml:space="preserve"> </w:t>
      </w:r>
      <w:r>
        <w:t xml:space="preserve">is, using an analogy from outside computing — kitchens, traffic, sports, anything you know well. What does your analogy get right about what happened with the Therac-25? Where does the analogy break down?</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2026-06-03T13:25:56Z</dcterms:created>
  <dcterms:modified xsi:type="dcterms:W3CDTF">2026-06-03T13:25:56Z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