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2026-05-22</w:t>
      </w:r>
    </w:p>
    <w:p>
      <w:pPr>
        <w:pStyle w:val="FirstParagraph"/>
      </w:pPr>
      <w:r>
        <w:t xml:space="preserve">Twelve short case studies on the people, decisions, and arguments that</w:t>
      </w:r>
      <w:r>
        <w:t xml:space="preserve"> </w:t>
      </w:r>
      <w:r>
        <w:t xml:space="preserve">made the field of computer science what it is — and the ones it is still</w:t>
      </w:r>
      <w:r>
        <w:t xml:space="preserve"> </w:t>
      </w:r>
      <w:r>
        <w:t xml:space="preserve">having. Each piece is built around a real story, a short algorithm you</w:t>
      </w:r>
      <w:r>
        <w:t xml:space="preserve"> </w:t>
      </w:r>
      <w:r>
        <w:t xml:space="preserve">can trace by hand, and an unresolved debate worth your own opinion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How We Represent People: ADTs and the Ethics of Data Modeling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Was OOP a Mistake? Alan Kay, Smalltalk &amp; the Backlash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3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Each case follows the same shape: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actually happened, with the people and the stakes.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technical mechanism, with a short algorithm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opened, with positions to weigh against each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A case takes about twenty to thirty minutes to read carefully, plus the</w:t>
      </w:r>
      <w:r>
        <w:t xml:space="preserve"> </w:t>
      </w:r>
      <w:r>
        <w:t xml:space="preserve">time you spend on the algorithm and the discussion questions. There is</w:t>
      </w:r>
      <w:r>
        <w:t xml:space="preserve"> </w:t>
      </w:r>
      <w:r>
        <w:t xml:space="preserve">no answer key. The discussion questions are for thinking and arguing</w:t>
      </w:r>
      <w:r>
        <w:t xml:space="preserve"> </w:t>
      </w:r>
      <w:r>
        <w:t xml:space="preserve">about with other people — not for looking up.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2026-05-26T00:33:11Z</dcterms:created>
  <dcterms:modified xsi:type="dcterms:W3CDTF">2026-05-26T00:33:11Z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2026-05-22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