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2026-08-21</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2019–present);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Apple’s silicon group,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over 70% of the world’s chips by foundry revenue — a share that has</w:t>
      </w:r>
      <w:r>
        <w:t xml:space="preserve"> </w:t>
      </w:r>
      <w:r>
        <w:rPr>
          <w:i/>
          <w:iCs/>
        </w:rPr>
        <w:t xml:space="preserve">grown</w:t>
      </w:r>
      <w:r>
        <w:t xml:space="preserve"> </w:t>
      </w:r>
      <w:r>
        <w:t xml:space="preserve">since the export controls began, reaching roughly 72% in early 2026</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Then the policy itself started reversing. In May 2025 the Bureau of Industry and Security rescinded the</w:t>
      </w:r>
      <w:r>
        <w:t xml:space="preserve"> </w:t>
      </w:r>
      <w:r>
        <w:t xml:space="preserve">“AI diffusion rule”</w:t>
      </w:r>
      <w:r>
        <w:t xml:space="preserve"> </w:t>
      </w:r>
      <w:r>
        <w:t xml:space="preserve">— a Biden-era framework that would have sorted the whole world into three tiers of chip access — before it ever took effect, replacing it with country-by-country deals and case-by-case licences. The H20 whipsawed twice: restricted in April 2025, then licensed again in July. In December 2025 the White House announced a one-year waiver allowing a degraded version of Nvidia’s H200 into China, licensed case by case and taxed on the way out, while the frontier Blackwell-class parts stayed blocked. In three years the rule had gone from a bright line to a negotiation.</w:t>
      </w:r>
    </w:p>
    <w:p>
      <w:pPr>
        <w:pStyle w:val="BodyText"/>
      </w:pPr>
      <w:r>
        <w:t xml:space="preserve">And then the other government moved. In September 2025 the Cyberspace Administration of China told its own technology companies to stop buying Nvidia’s AI chips altogether — including the throttled models Washington had just re-approved — and to stop testing them. Beijing was now enforcing, from its side, a separation the United States had spent three years trying to impose from the outside. Huawei published an Ascend roadmap running to 2028 and its chips became the backbone of state-backed AI infrastructure; Cambricon, a domestic rival, swung from heavy losses to record profits in a single year.</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p>
      <w:pPr>
        <w:pStyle w:val="TableCaption"/>
      </w:pPr>
      <w:r>
        <w:t xml:space="preserve">Moore’s prediction compared with the actual transistor count of representative chips.</w:t>
      </w:r>
    </w:p>
    <w:tbl>
      <w:tblPr>
        <w:tblStyle w:val="Table"/>
        <w:tblW w:type="auto" w:w="0"/>
        <w:tblLook w:firstRow="1" w:lastRow="0" w:firstColumn="0" w:lastColumn="0" w:noHBand="0" w:noVBand="0" w:val="0020"/>
        <w:tblCaption w:val="Moore’s prediction compared with the actual transistor count of representative chips."/>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 (K7)</w:t>
            </w:r>
          </w:p>
        </w:tc>
        <w:tc>
          <w:tcPr/>
          <w:p>
            <w:pPr>
              <w:pStyle w:val="Compact"/>
            </w:pPr>
            <w:r>
              <w:t xml:space="preserve">≈ 38 million</w:t>
            </w:r>
          </w:p>
        </w:tc>
        <w:tc>
          <w:tcPr/>
          <w:p>
            <w:pPr>
              <w:pStyle w:val="Compact"/>
            </w:pPr>
            <w:r>
              <w:t xml:space="preserve">≈ 22 million</w:t>
            </w:r>
          </w:p>
        </w:tc>
      </w:tr>
      <w:tr>
        <w:tc>
          <w:tcPr/>
          <w:p>
            <w:pPr>
              <w:pStyle w:val="Compact"/>
            </w:pPr>
            <w:r>
              <w:t xml:space="preserve">2011</w:t>
            </w:r>
          </w:p>
        </w:tc>
        <w:tc>
          <w:tcPr/>
          <w:p>
            <w:pPr>
              <w:pStyle w:val="Compact"/>
            </w:pPr>
            <w:r>
              <w:t xml:space="preserve">Intel Sandy Bridge</w:t>
            </w:r>
          </w:p>
        </w:tc>
        <w:tc>
          <w:tcPr/>
          <w:p>
            <w:pPr>
              <w:pStyle w:val="Compact"/>
            </w:pPr>
            <w:r>
              <w:t xml:space="preserve">≈ 2.4 billion</w:t>
            </w:r>
          </w:p>
        </w:tc>
        <w:tc>
          <w:tcPr/>
          <w:p>
            <w:pPr>
              <w:pStyle w:val="Compact"/>
            </w:pPr>
            <w:r>
              <w:t xml:space="preserve">≈ 995 million</w:t>
            </w:r>
          </w:p>
        </w:tc>
      </w:tr>
      <w:tr>
        <w:tc>
          <w:tcPr/>
          <w:p>
            <w:pPr>
              <w:pStyle w:val="Compact"/>
            </w:pPr>
            <w:r>
              <w:t xml:space="preserve">2023</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stayed within roughly a factor of two of Moore’s naive extrapolation for half a century — remarkable for a fifty-year forecast, though you can see the rule running ahead of any single mainstream chip in the middle of the run, then being caught again by the largest chips of the 2020s.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2026 the leading edge is no longer quite a monopoly — Samsung is producing at 2nm and Intel’s 18A entered high-volume manufacturing in late 2025 — but neither is close to TSMC’s yields or volumes, and TSMC’s overall share of the foundry market has gone</w:t>
      </w:r>
      <w:r>
        <w:t xml:space="preserve"> </w:t>
      </w:r>
      <w:r>
        <w:rPr>
          <w:i/>
          <w:iCs/>
        </w:rPr>
        <w:t xml:space="preserve">up</w:t>
      </w:r>
      <w:r>
        <w:t xml:space="preserve">, not down, since the controls began.</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time the address width</w:t>
      </w:r>
      <w:r>
        <w:t xml:space="preserve"> </w:t>
      </w:r>
      <w:r>
        <w:rPr>
          <w:i/>
          <w:iCs/>
        </w:rPr>
        <w:t xml:space="preserve">doubles</w:t>
      </w:r>
      <w:r>
        <w:t xml:space="preserve">, the reach is not doubled — it is</w:t>
      </w:r>
      <w:r>
        <w:t xml:space="preserve"> </w:t>
      </w:r>
      <w:r>
        <w:rPr>
          <w:i/>
          <w:iCs/>
        </w:rPr>
        <w:t xml:space="preserve">squared</w:t>
      </w:r>
      <w:r>
        <w:t xml:space="preserve">:</w:t>
      </w:r>
    </w:p>
    <w:p>
      <w:pPr>
        <w:pStyle w:val="TableCaption"/>
      </w:pPr>
      <w:r>
        <w:t xml:space="preserve">How far each address width could reach, and what that meant for real machines.</w:t>
      </w:r>
    </w:p>
    <w:tbl>
      <w:tblPr>
        <w:tblStyle w:val="Table"/>
        <w:tblW w:type="pct" w:w="5000"/>
        <w:tblLayout w:type="fixed"/>
        <w:tblLook w:firstRow="1" w:lastRow="0" w:firstColumn="0" w:lastColumn="0" w:noHBand="0" w:noVBand="0" w:val="0020"/>
        <w:tblCaption w:val="How far each address width could reach, and what that meant for real machines."/>
      </w:tblPr>
      <w:tblGrid>
        <w:gridCol w:w="1584"/>
        <w:gridCol w:w="2534"/>
        <w:gridCol w:w="3801"/>
      </w:tblGrid>
      <w:tr>
        <w:trPr>
          <w:tblHeader w:val="on"/>
        </w:trPr>
        <w:tc>
          <w:tcPr/>
          <w:p>
            <w:pPr>
              <w:pStyle w:val="Compact"/>
            </w:pPr>
            <w:r>
              <w:t xml:space="preserve">Address 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One page of 6502 memory; the Atari 2600’s entire RAM</w:t>
            </w:r>
          </w:p>
        </w:tc>
      </w:tr>
      <w:tr>
        <w:tc>
          <w:tcPr/>
          <w:p>
            <w:pPr>
              <w:pStyle w:val="Compact"/>
            </w:pPr>
            <w:r>
              <w:t xml:space="preserve">16-bit</w:t>
            </w:r>
          </w:p>
        </w:tc>
        <w:tc>
          <w:tcPr/>
          <w:p>
            <w:pPr>
              <w:pStyle w:val="Compact"/>
            </w:pPr>
            <w:r>
              <w:t xml:space="preserve">64 KB</w:t>
            </w:r>
          </w:p>
        </w:tc>
        <w:tc>
          <w:tcPr/>
          <w:p>
            <w:pPr>
              <w:pStyle w:val="Compact"/>
            </w:pPr>
            <w:r>
              <w:t xml:space="preserve">The Apple II and NES address space in full</w:t>
            </w:r>
          </w:p>
        </w:tc>
      </w:tr>
      <w:tr>
        <w:tc>
          <w:tcPr/>
          <w:p>
            <w:pPr>
              <w:pStyle w:val="Compact"/>
            </w:pPr>
            <w:r>
              <w:t xml:space="preserve">20-bit</w:t>
            </w:r>
          </w:p>
        </w:tc>
        <w:tc>
          <w:tcPr/>
          <w:p>
            <w:pPr>
              <w:pStyle w:val="Compact"/>
            </w:pPr>
            <w:r>
              <w:t xml:space="preserve">1 MB</w:t>
            </w:r>
          </w:p>
        </w:tc>
        <w:tc>
          <w:tcPr/>
          <w:p>
            <w:pPr>
              <w:pStyle w:val="Compact"/>
            </w:pPr>
            <w:r>
              <w:t xml:space="preserve">The original IBM PC (a 16-bit CPU with a 20-bit bus)</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Note the distinction the table turns on: a chip’s</w:t>
      </w:r>
      <w:r>
        <w:t xml:space="preserve"> </w:t>
      </w:r>
      <w:r>
        <w:rPr>
          <w:i/>
          <w:iCs/>
        </w:rPr>
        <w:t xml:space="preserve">data</w:t>
      </w:r>
      <w:r>
        <w:t xml:space="preserve"> </w:t>
      </w:r>
      <w:r>
        <w:t xml:space="preserve">width (how many bits it computes on at once) and its</w:t>
      </w:r>
      <w:r>
        <w:t xml:space="preserve"> </w:t>
      </w:r>
      <w:r>
        <w:rPr>
          <w:i/>
          <w:iCs/>
        </w:rPr>
        <w:t xml:space="preserve">address</w:t>
      </w:r>
      <w:r>
        <w:t xml:space="preserve"> </w:t>
      </w:r>
      <w:r>
        <w:t xml:space="preserve">width (how much memory it can reach) are different numbers. The 6502 in an Apple II was an 8-bit processor with a 16-bit address bus — 8-bit arithmetic, 64 KB of reach. The 1970s and 1980s microprocessors lived inside those small windows either way.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Three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The third arrived in September 2025, when China banned its own firms from buying Nvidia at all — the clearest possible sign that the indigenous capability the controls were meant to prevent had become good enough to mandate.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which began volume production at the end of 2024 and is still expanding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Four things are simultaneously true:</w:t>
      </w:r>
    </w:p>
    <w:p>
      <w:pPr>
        <w:pStyle w:val="Compact"/>
        <w:numPr>
          <w:ilvl w:val="0"/>
          <w:numId w:val="1006"/>
        </w:numPr>
      </w:pPr>
      <w:r>
        <w:t xml:space="preserve">The controls did slow the very top end of Chinese AI compute. The fastest chips legally available in China still lag the global frontier.</w:t>
      </w:r>
    </w:p>
    <w:p>
      <w:pPr>
        <w:pStyle w:val="Compact"/>
        <w:numPr>
          <w:ilvl w:val="0"/>
          <w:numId w:val="1006"/>
        </w:numPr>
      </w:pPr>
      <w:r>
        <w:t xml:space="preserve">They did not stop it. Huawei is making 7nm chips and shipping an Ascend line on a published multi-year roadmap. DeepSeek-class models were trained on permitted hardware. A government willing to spend $150 billion generated its own capability.</w:t>
      </w:r>
    </w:p>
    <w:p>
      <w:pPr>
        <w:pStyle w:val="Compact"/>
        <w:numPr>
          <w:ilvl w:val="0"/>
          <w:numId w:val="1006"/>
        </w:numPr>
      </w:pPr>
      <w:r>
        <w:t xml:space="preserve">The policy has become unstable. A rule rescinded before it took effect, a chip banned and then licensed within three months, a frontier-adjacent part waived through for a year with a tax attached — these are the moves of a negotiation, not a line. Firms cannot plan against them, which is its own kind of cost.</w:t>
      </w:r>
    </w:p>
    <w:p>
      <w:pPr>
        <w:pStyle w:val="Compact"/>
        <w:numPr>
          <w:ilvl w:val="0"/>
          <w:numId w:val="1006"/>
        </w:numPr>
      </w:pPr>
      <w:r>
        <w:t xml:space="preserve">The concentration the controls were partly meant to unwind got worse. TSMC’s share of the foundry market is higher than when the controls started. Its Arizona fab reached volume production roughly two years later than first promised and costs billions more per wafer than its Taiwan equivalents.</w:t>
      </w:r>
    </w:p>
    <w:p>
      <w:pPr>
        <w:pStyle w:val="FirstParagraph"/>
      </w:pPr>
      <w:r>
        <w:t xml:space="preserve">And then the twist that neither original argument predicted: after three years of Washington deciding what China may buy, Beijing decided its firms would not buy it anyway. The export-control argument assumed the seller holds the leverage. The fragmentation reply assumed the buyer would route around the restriction. Both assumed the buyer still</w:t>
      </w:r>
      <w:r>
        <w:t xml:space="preserve"> </w:t>
      </w:r>
      <w:r>
        <w:rPr>
          <w:i/>
          <w:iCs/>
        </w:rPr>
        <w:t xml:space="preserve">wanted</w:t>
      </w:r>
      <w:r>
        <w:t xml:space="preserve"> </w:t>
      </w:r>
      <w:r>
        <w:t xml:space="preserve">the chips.</w:t>
      </w:r>
    </w:p>
    <w:p>
      <w:pPr>
        <w:pStyle w:val="BodyText"/>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changed shape repeatedly while doing it, and helped produce a competitor that no longer needs the thing being withheld. The question they were meant to settle — whether advanced compute should be a national-security strategic asset at all — is still open, and the two governments have now answered it the same way from opposite directions.</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today.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Since 2022 the same restriction has been written, loosened, reversed, and waived. Then the country it targeted told its own companies not to buy the chips anyway. Does a control that keeps changing still count as a control — and if the target stops wanting what you are withholding, what exactly do you still have leverage over?</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2026-08-21T12:30:18Z</dcterms:created>
  <dcterms:modified xsi:type="dcterms:W3CDTF">2026-08-21T12:30:18Z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2026-08-21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