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AWS us-east-1, October 2025.</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 On October 20, 2025,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and one more incident that generalized the lesson.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1" w:name="references"/>
    <w:p>
      <w:pPr>
        <w:pStyle w:val="Heading2"/>
      </w:pPr>
      <w:r>
        <w:t xml:space="preserve">References</w:t>
      </w:r>
    </w:p>
    <w:bookmarkStart w:id="30"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4"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4"/>
    <w:bookmarkStart w:id="26"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5">
        <w:r>
          <w:rPr>
            <w:rStyle w:val="Hyperlink"/>
          </w:rPr>
          <w:t xml:space="preserve">https://blog.cloudflare.com/why-we-terminated-daily-stormer/</w:t>
        </w:r>
      </w:hyperlink>
      <w:r>
        <w:t xml:space="preserve">.</w:t>
      </w:r>
    </w:p>
    <w:bookmarkEnd w:id="26"/>
    <w:bookmarkStart w:id="27"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27"/>
    <w:bookmarkStart w:id="29"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28">
        <w:r>
          <w:rPr>
            <w:rStyle w:val="Hyperlink"/>
          </w:rPr>
          <w:t xml:space="preserve">https://www.theguardian.com/technology/2025/oct/20/amazon-web-services-outage</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2026-07-11T13:48:37Z</dcterms:created>
  <dcterms:modified xsi:type="dcterms:W3CDTF">2026-07-11T13:48:37Z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