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2026-07-11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“We Must Know — We Will Know”</w:t>
              </w:r>
              <w:r>
                <w:rPr>
                  <w:rStyle w:val="Hyperlink"/>
                </w:rPr>
                <w:t xml:space="preserve">: Gödel, Turing, and the Problem No Computer Can Solve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 Source and the Code an AI Learned From — Linux, Git &amp; Copilot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From SQL to NoSQL: Why Google Broke the Database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Three Companies Own the Internet — ARPANET to the Cloud Oligopoly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The Equifax Breach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The Score and the Face: COMPAS, Facial Recognition &amp; AI Accountability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</w:tbl>
    <w:bookmarkStart w:id="21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Relationship Type="http://schemas.openxmlformats.org/officeDocument/2006/relationships/hyperlink" Id="rId19" Target="cs11_equifax_breach.qmd" TargetMode="External" /><Relationship Type="http://schemas.openxmlformats.org/officeDocument/2006/relationships/hyperlink" Id="rId20" Target="cs12_compas_fairnes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Relationship Type="http://schemas.openxmlformats.org/officeDocument/2006/relationships/hyperlink" Id="rId19" Target="cs11_equifax_breach.qmd" TargetMode="External" /><Relationship Type="http://schemas.openxmlformats.org/officeDocument/2006/relationships/hyperlink" Id="rId20" Target="cs12_compas_fairnes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2026-07-11T13:47:35Z</dcterms:created>
  <dcterms:modified xsi:type="dcterms:W3CDTF">2026-07-11T13:47:35Z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2026-07-11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